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CB" w:rsidRPr="001C7DCB" w:rsidRDefault="00392299" w:rsidP="001C7DCB">
      <w:pPr>
        <w:jc w:val="center"/>
        <w:rPr>
          <w:b/>
          <w:sz w:val="36"/>
        </w:rPr>
      </w:pPr>
      <w:r w:rsidRPr="00987FC6">
        <w:rPr>
          <w:b/>
          <w:sz w:val="36"/>
        </w:rPr>
        <w:t xml:space="preserve">Fulwood and Cadley Pupil Premium </w:t>
      </w:r>
      <w:r w:rsidR="00CD565E">
        <w:rPr>
          <w:b/>
          <w:sz w:val="36"/>
        </w:rPr>
        <w:t>Review 2023-2024</w:t>
      </w:r>
      <w:r w:rsidR="001C7DCB">
        <w:rPr>
          <w:b/>
          <w:sz w:val="36"/>
        </w:rPr>
        <w:t xml:space="preserve"> </w:t>
      </w:r>
    </w:p>
    <w:tbl>
      <w:tblPr>
        <w:tblStyle w:val="TableGrid"/>
        <w:tblW w:w="15752" w:type="dxa"/>
        <w:tblLook w:val="04A0" w:firstRow="1" w:lastRow="0" w:firstColumn="1" w:lastColumn="0" w:noHBand="0" w:noVBand="1"/>
      </w:tblPr>
      <w:tblGrid>
        <w:gridCol w:w="2976"/>
        <w:gridCol w:w="1245"/>
        <w:gridCol w:w="989"/>
        <w:gridCol w:w="3391"/>
        <w:gridCol w:w="2061"/>
        <w:gridCol w:w="1444"/>
        <w:gridCol w:w="1243"/>
        <w:gridCol w:w="2403"/>
      </w:tblGrid>
      <w:tr w:rsidR="00392299" w:rsidTr="00E718ED">
        <w:tc>
          <w:tcPr>
            <w:tcW w:w="15752" w:type="dxa"/>
            <w:gridSpan w:val="8"/>
            <w:shd w:val="clear" w:color="auto" w:fill="BDD6EE" w:themeFill="accent1" w:themeFillTint="66"/>
          </w:tcPr>
          <w:p w:rsidR="00392299" w:rsidRDefault="00392299" w:rsidP="00392299">
            <w:pPr>
              <w:jc w:val="center"/>
              <w:rPr>
                <w:b/>
                <w:sz w:val="28"/>
              </w:rPr>
            </w:pPr>
            <w:r w:rsidRPr="00987FC6">
              <w:rPr>
                <w:b/>
                <w:sz w:val="32"/>
              </w:rPr>
              <w:t xml:space="preserve">Pupil Premium School Profile </w:t>
            </w:r>
          </w:p>
        </w:tc>
      </w:tr>
      <w:tr w:rsidR="009E6517" w:rsidTr="00ED548E">
        <w:tc>
          <w:tcPr>
            <w:tcW w:w="2976" w:type="dxa"/>
            <w:shd w:val="clear" w:color="auto" w:fill="BDD6EE" w:themeFill="accent1" w:themeFillTint="66"/>
          </w:tcPr>
          <w:p w:rsidR="00392299" w:rsidRDefault="00392299" w:rsidP="00392299">
            <w:pPr>
              <w:jc w:val="center"/>
              <w:rPr>
                <w:b/>
                <w:sz w:val="28"/>
              </w:rPr>
            </w:pPr>
            <w:r>
              <w:rPr>
                <w:b/>
                <w:sz w:val="28"/>
              </w:rPr>
              <w:t>Number of Pupils on Roll</w:t>
            </w:r>
          </w:p>
        </w:tc>
        <w:tc>
          <w:tcPr>
            <w:tcW w:w="2234" w:type="dxa"/>
            <w:gridSpan w:val="2"/>
            <w:shd w:val="clear" w:color="auto" w:fill="BDD6EE" w:themeFill="accent1" w:themeFillTint="66"/>
          </w:tcPr>
          <w:p w:rsidR="00392299" w:rsidRPr="00987FC6" w:rsidRDefault="00CD565E" w:rsidP="00392299">
            <w:pPr>
              <w:jc w:val="center"/>
              <w:rPr>
                <w:sz w:val="28"/>
              </w:rPr>
            </w:pPr>
            <w:r>
              <w:rPr>
                <w:sz w:val="28"/>
              </w:rPr>
              <w:t>315</w:t>
            </w:r>
          </w:p>
        </w:tc>
        <w:tc>
          <w:tcPr>
            <w:tcW w:w="3391" w:type="dxa"/>
            <w:shd w:val="clear" w:color="auto" w:fill="BDD6EE" w:themeFill="accent1" w:themeFillTint="66"/>
          </w:tcPr>
          <w:p w:rsidR="00392299" w:rsidRDefault="00392299" w:rsidP="00392299">
            <w:pPr>
              <w:jc w:val="center"/>
              <w:rPr>
                <w:b/>
                <w:sz w:val="28"/>
              </w:rPr>
            </w:pPr>
            <w:r>
              <w:rPr>
                <w:b/>
                <w:sz w:val="28"/>
              </w:rPr>
              <w:t>Number of Eligible Pupils</w:t>
            </w:r>
          </w:p>
        </w:tc>
        <w:tc>
          <w:tcPr>
            <w:tcW w:w="2061" w:type="dxa"/>
            <w:shd w:val="clear" w:color="auto" w:fill="BDD6EE" w:themeFill="accent1" w:themeFillTint="66"/>
          </w:tcPr>
          <w:p w:rsidR="000468B7" w:rsidRPr="00987FC6" w:rsidRDefault="00CD565E" w:rsidP="00CD565E">
            <w:pPr>
              <w:jc w:val="center"/>
              <w:rPr>
                <w:sz w:val="28"/>
              </w:rPr>
            </w:pPr>
            <w:r>
              <w:rPr>
                <w:sz w:val="20"/>
              </w:rPr>
              <w:t>81</w:t>
            </w:r>
          </w:p>
        </w:tc>
        <w:tc>
          <w:tcPr>
            <w:tcW w:w="2687" w:type="dxa"/>
            <w:gridSpan w:val="2"/>
            <w:shd w:val="clear" w:color="auto" w:fill="BDD6EE" w:themeFill="accent1" w:themeFillTint="66"/>
          </w:tcPr>
          <w:p w:rsidR="00392299" w:rsidRDefault="00CD565E" w:rsidP="00392299">
            <w:pPr>
              <w:jc w:val="center"/>
              <w:rPr>
                <w:b/>
                <w:sz w:val="28"/>
              </w:rPr>
            </w:pPr>
            <w:r w:rsidRPr="00CD565E">
              <w:rPr>
                <w:sz w:val="28"/>
              </w:rPr>
              <w:t xml:space="preserve">25.7 </w:t>
            </w:r>
            <w:r w:rsidR="00987FC6" w:rsidRPr="00CD565E">
              <w:rPr>
                <w:sz w:val="28"/>
              </w:rPr>
              <w:t>%</w:t>
            </w:r>
            <w:r w:rsidR="00392299">
              <w:rPr>
                <w:b/>
                <w:sz w:val="28"/>
              </w:rPr>
              <w:t xml:space="preserve"> of School Community</w:t>
            </w:r>
          </w:p>
        </w:tc>
        <w:tc>
          <w:tcPr>
            <w:tcW w:w="2403" w:type="dxa"/>
            <w:shd w:val="clear" w:color="auto" w:fill="BDD6EE" w:themeFill="accent1" w:themeFillTint="66"/>
          </w:tcPr>
          <w:p w:rsidR="00392299" w:rsidRPr="002C560F" w:rsidRDefault="00ED548E" w:rsidP="000468B7">
            <w:pPr>
              <w:jc w:val="center"/>
              <w:rPr>
                <w:sz w:val="28"/>
              </w:rPr>
            </w:pPr>
            <w:r>
              <w:rPr>
                <w:sz w:val="28"/>
              </w:rPr>
              <w:t>23</w:t>
            </w:r>
            <w:r w:rsidR="00B34D52">
              <w:rPr>
                <w:sz w:val="28"/>
              </w:rPr>
              <w:t>%</w:t>
            </w:r>
          </w:p>
        </w:tc>
      </w:tr>
      <w:tr w:rsidR="006848FA" w:rsidTr="00ED548E">
        <w:tc>
          <w:tcPr>
            <w:tcW w:w="4221" w:type="dxa"/>
            <w:gridSpan w:val="2"/>
            <w:shd w:val="clear" w:color="auto" w:fill="BDD6EE" w:themeFill="accent1" w:themeFillTint="66"/>
          </w:tcPr>
          <w:p w:rsidR="00392299" w:rsidRDefault="00392299" w:rsidP="00392299">
            <w:pPr>
              <w:jc w:val="center"/>
              <w:rPr>
                <w:b/>
                <w:sz w:val="28"/>
              </w:rPr>
            </w:pPr>
            <w:r>
              <w:rPr>
                <w:b/>
                <w:sz w:val="28"/>
              </w:rPr>
              <w:t>Total Pupil Premium Budget</w:t>
            </w:r>
          </w:p>
        </w:tc>
        <w:tc>
          <w:tcPr>
            <w:tcW w:w="4380" w:type="dxa"/>
            <w:gridSpan w:val="2"/>
            <w:shd w:val="clear" w:color="auto" w:fill="BDD6EE" w:themeFill="accent1" w:themeFillTint="66"/>
          </w:tcPr>
          <w:p w:rsidR="00392299" w:rsidRPr="00C97063" w:rsidRDefault="002E3259" w:rsidP="00392299">
            <w:pPr>
              <w:jc w:val="center"/>
              <w:rPr>
                <w:sz w:val="28"/>
              </w:rPr>
            </w:pPr>
            <w:r>
              <w:rPr>
                <w:sz w:val="28"/>
              </w:rPr>
              <w:t>£77, 921.50</w:t>
            </w:r>
          </w:p>
        </w:tc>
        <w:tc>
          <w:tcPr>
            <w:tcW w:w="3505" w:type="dxa"/>
            <w:gridSpan w:val="2"/>
            <w:shd w:val="clear" w:color="auto" w:fill="BDD6EE" w:themeFill="accent1" w:themeFillTint="66"/>
          </w:tcPr>
          <w:p w:rsidR="00392299" w:rsidRDefault="00987FC6" w:rsidP="00392299">
            <w:pPr>
              <w:jc w:val="center"/>
              <w:rPr>
                <w:b/>
                <w:sz w:val="28"/>
              </w:rPr>
            </w:pPr>
            <w:r>
              <w:rPr>
                <w:b/>
                <w:sz w:val="28"/>
              </w:rPr>
              <w:t xml:space="preserve">Amount per Pupil </w:t>
            </w:r>
          </w:p>
        </w:tc>
        <w:tc>
          <w:tcPr>
            <w:tcW w:w="3646" w:type="dxa"/>
            <w:gridSpan w:val="2"/>
            <w:shd w:val="clear" w:color="auto" w:fill="BDD6EE" w:themeFill="accent1" w:themeFillTint="66"/>
          </w:tcPr>
          <w:p w:rsidR="00392299" w:rsidRPr="00C97063" w:rsidRDefault="002E3259" w:rsidP="00392299">
            <w:pPr>
              <w:jc w:val="center"/>
              <w:rPr>
                <w:sz w:val="28"/>
              </w:rPr>
            </w:pPr>
            <w:r>
              <w:rPr>
                <w:sz w:val="28"/>
              </w:rPr>
              <w:t>£1345</w:t>
            </w:r>
          </w:p>
        </w:tc>
      </w:tr>
      <w:tr w:rsidR="00392299" w:rsidTr="00E718ED">
        <w:tc>
          <w:tcPr>
            <w:tcW w:w="15752" w:type="dxa"/>
            <w:gridSpan w:val="8"/>
            <w:shd w:val="clear" w:color="auto" w:fill="9CC2E5" w:themeFill="accent1" w:themeFillTint="99"/>
          </w:tcPr>
          <w:p w:rsidR="00392299" w:rsidRDefault="00987FC6" w:rsidP="00392299">
            <w:pPr>
              <w:jc w:val="center"/>
              <w:rPr>
                <w:b/>
                <w:sz w:val="28"/>
              </w:rPr>
            </w:pPr>
            <w:r w:rsidRPr="00987FC6">
              <w:rPr>
                <w:b/>
                <w:sz w:val="32"/>
              </w:rPr>
              <w:t>Critical Analysis</w:t>
            </w:r>
          </w:p>
        </w:tc>
      </w:tr>
      <w:tr w:rsidR="00987FC6" w:rsidTr="00E718ED">
        <w:tc>
          <w:tcPr>
            <w:tcW w:w="15752" w:type="dxa"/>
            <w:gridSpan w:val="8"/>
            <w:shd w:val="clear" w:color="auto" w:fill="FFFFFF" w:themeFill="background1"/>
          </w:tcPr>
          <w:p w:rsidR="00987FC6" w:rsidRDefault="00CD565E" w:rsidP="00987FC6">
            <w:pPr>
              <w:rPr>
                <w:b/>
                <w:sz w:val="28"/>
              </w:rPr>
            </w:pPr>
            <w:r>
              <w:rPr>
                <w:b/>
                <w:sz w:val="28"/>
              </w:rPr>
              <w:t>Data-end of year 2024</w:t>
            </w:r>
            <w:r w:rsidR="002E3259">
              <w:rPr>
                <w:b/>
                <w:sz w:val="28"/>
              </w:rPr>
              <w:t xml:space="preserve"> (teacher assessments and statutory-Y2 and Y6)</w:t>
            </w:r>
          </w:p>
          <w:tbl>
            <w:tblPr>
              <w:tblStyle w:val="TableGrid"/>
              <w:tblW w:w="14503" w:type="dxa"/>
              <w:tblLook w:val="04A0" w:firstRow="1" w:lastRow="0" w:firstColumn="1" w:lastColumn="0" w:noHBand="0" w:noVBand="1"/>
            </w:tblPr>
            <w:tblGrid>
              <w:gridCol w:w="3103"/>
              <w:gridCol w:w="11400"/>
            </w:tblGrid>
            <w:tr w:rsidR="002C560F" w:rsidTr="0028316A">
              <w:trPr>
                <w:trHeight w:val="323"/>
              </w:trPr>
              <w:tc>
                <w:tcPr>
                  <w:tcW w:w="3103" w:type="dxa"/>
                </w:tcPr>
                <w:p w:rsidR="002C560F" w:rsidRDefault="002C560F" w:rsidP="002C560F">
                  <w:pPr>
                    <w:rPr>
                      <w:rFonts w:ascii="Gill Sans MT" w:hAnsi="Gill Sans MT"/>
                      <w:b/>
                      <w:sz w:val="24"/>
                      <w:szCs w:val="24"/>
                      <w:u w:val="single"/>
                    </w:rPr>
                  </w:pPr>
                  <w:r>
                    <w:rPr>
                      <w:rFonts w:ascii="Gill Sans MT" w:hAnsi="Gill Sans MT"/>
                      <w:b/>
                      <w:sz w:val="24"/>
                      <w:szCs w:val="24"/>
                      <w:u w:val="single"/>
                    </w:rPr>
                    <w:t>Year Group</w:t>
                  </w:r>
                </w:p>
              </w:tc>
              <w:tc>
                <w:tcPr>
                  <w:tcW w:w="11400" w:type="dxa"/>
                </w:tcPr>
                <w:p w:rsidR="002C560F" w:rsidRDefault="002C560F" w:rsidP="002C560F">
                  <w:pPr>
                    <w:rPr>
                      <w:rFonts w:ascii="Gill Sans MT" w:hAnsi="Gill Sans MT"/>
                      <w:b/>
                      <w:sz w:val="24"/>
                      <w:szCs w:val="24"/>
                      <w:u w:val="single"/>
                    </w:rPr>
                  </w:pPr>
                  <w:r>
                    <w:rPr>
                      <w:rFonts w:ascii="Gill Sans MT" w:hAnsi="Gill Sans MT"/>
                      <w:b/>
                      <w:sz w:val="24"/>
                      <w:szCs w:val="24"/>
                      <w:u w:val="single"/>
                    </w:rPr>
                    <w:t>DAP</w:t>
                  </w:r>
                </w:p>
              </w:tc>
            </w:tr>
            <w:tr w:rsidR="002C560F" w:rsidTr="0028316A">
              <w:trPr>
                <w:trHeight w:val="323"/>
              </w:trPr>
              <w:tc>
                <w:tcPr>
                  <w:tcW w:w="3103" w:type="dxa"/>
                </w:tcPr>
                <w:p w:rsidR="002C560F" w:rsidRPr="00F875FE" w:rsidRDefault="002C560F" w:rsidP="002C560F">
                  <w:pPr>
                    <w:rPr>
                      <w:rFonts w:ascii="Gill Sans MT" w:hAnsi="Gill Sans MT"/>
                      <w:b/>
                      <w:sz w:val="24"/>
                      <w:szCs w:val="24"/>
                    </w:rPr>
                  </w:pPr>
                  <w:r w:rsidRPr="00F875FE">
                    <w:rPr>
                      <w:rFonts w:ascii="Gill Sans MT" w:hAnsi="Gill Sans MT"/>
                      <w:b/>
                      <w:sz w:val="24"/>
                      <w:szCs w:val="24"/>
                    </w:rPr>
                    <w:t>1</w:t>
                  </w:r>
                </w:p>
              </w:tc>
              <w:tc>
                <w:tcPr>
                  <w:tcW w:w="11400" w:type="dxa"/>
                </w:tcPr>
                <w:p w:rsidR="002C560F" w:rsidRPr="0028316A" w:rsidRDefault="00CD565E" w:rsidP="002C560F">
                  <w:pPr>
                    <w:rPr>
                      <w:rFonts w:ascii="Gill Sans MT" w:hAnsi="Gill Sans MT"/>
                      <w:sz w:val="28"/>
                      <w:szCs w:val="28"/>
                    </w:rPr>
                  </w:pPr>
                  <w:r>
                    <w:rPr>
                      <w:rFonts w:ascii="Gill Sans MT" w:hAnsi="Gill Sans MT"/>
                      <w:sz w:val="28"/>
                      <w:szCs w:val="28"/>
                    </w:rPr>
                    <w:t>50</w:t>
                  </w:r>
                  <w:r w:rsidR="00A55445">
                    <w:rPr>
                      <w:rFonts w:ascii="Gill Sans MT" w:hAnsi="Gill Sans MT"/>
                      <w:sz w:val="28"/>
                      <w:szCs w:val="28"/>
                    </w:rPr>
                    <w:t>% ARE</w:t>
                  </w:r>
                  <w:r>
                    <w:rPr>
                      <w:rFonts w:ascii="Gill Sans MT" w:hAnsi="Gill Sans MT"/>
                      <w:sz w:val="28"/>
                      <w:szCs w:val="28"/>
                    </w:rPr>
                    <w:t>+</w:t>
                  </w:r>
                  <w:r w:rsidR="00A55445">
                    <w:rPr>
                      <w:rFonts w:ascii="Gill Sans MT" w:hAnsi="Gill Sans MT"/>
                      <w:sz w:val="28"/>
                      <w:szCs w:val="28"/>
                    </w:rPr>
                    <w:t xml:space="preserve"> </w:t>
                  </w:r>
                  <w:r>
                    <w:rPr>
                      <w:rFonts w:ascii="Gill Sans MT" w:hAnsi="Gill Sans MT"/>
                      <w:sz w:val="28"/>
                      <w:szCs w:val="28"/>
                    </w:rPr>
                    <w:t xml:space="preserve">in reading      67% ARE+ in writing </w:t>
                  </w:r>
                  <w:r w:rsidR="00A55445">
                    <w:rPr>
                      <w:rFonts w:ascii="Gill Sans MT" w:hAnsi="Gill Sans MT"/>
                      <w:sz w:val="28"/>
                      <w:szCs w:val="28"/>
                    </w:rPr>
                    <w:t xml:space="preserve"> </w:t>
                  </w:r>
                  <w:r>
                    <w:rPr>
                      <w:rFonts w:ascii="Gill Sans MT" w:hAnsi="Gill Sans MT"/>
                      <w:sz w:val="28"/>
                      <w:szCs w:val="28"/>
                    </w:rPr>
                    <w:t xml:space="preserve">    50</w:t>
                  </w:r>
                  <w:r w:rsidR="0028316A" w:rsidRPr="0028316A">
                    <w:rPr>
                      <w:rFonts w:ascii="Gill Sans MT" w:hAnsi="Gill Sans MT"/>
                      <w:sz w:val="28"/>
                      <w:szCs w:val="28"/>
                    </w:rPr>
                    <w:t>% ARE</w:t>
                  </w:r>
                  <w:r>
                    <w:rPr>
                      <w:rFonts w:ascii="Gill Sans MT" w:hAnsi="Gill Sans MT"/>
                      <w:sz w:val="28"/>
                      <w:szCs w:val="28"/>
                    </w:rPr>
                    <w:t>+</w:t>
                  </w:r>
                  <w:r w:rsidR="0028316A" w:rsidRPr="0028316A">
                    <w:rPr>
                      <w:rFonts w:ascii="Gill Sans MT" w:hAnsi="Gill Sans MT"/>
                      <w:sz w:val="28"/>
                      <w:szCs w:val="28"/>
                    </w:rPr>
                    <w:t xml:space="preserve"> in maths</w:t>
                  </w:r>
                </w:p>
              </w:tc>
            </w:tr>
            <w:tr w:rsidR="002C560F" w:rsidTr="0028316A">
              <w:trPr>
                <w:trHeight w:val="323"/>
              </w:trPr>
              <w:tc>
                <w:tcPr>
                  <w:tcW w:w="3103" w:type="dxa"/>
                </w:tcPr>
                <w:p w:rsidR="002C560F" w:rsidRPr="00F875FE" w:rsidRDefault="002C560F" w:rsidP="002C560F">
                  <w:pPr>
                    <w:rPr>
                      <w:rFonts w:ascii="Gill Sans MT" w:hAnsi="Gill Sans MT"/>
                      <w:b/>
                      <w:sz w:val="24"/>
                      <w:szCs w:val="24"/>
                    </w:rPr>
                  </w:pPr>
                  <w:r w:rsidRPr="00F875FE">
                    <w:rPr>
                      <w:rFonts w:ascii="Gill Sans MT" w:hAnsi="Gill Sans MT"/>
                      <w:b/>
                      <w:sz w:val="24"/>
                      <w:szCs w:val="24"/>
                    </w:rPr>
                    <w:t>2</w:t>
                  </w:r>
                </w:p>
              </w:tc>
              <w:tc>
                <w:tcPr>
                  <w:tcW w:w="11400" w:type="dxa"/>
                </w:tcPr>
                <w:p w:rsidR="002C560F" w:rsidRPr="0028316A" w:rsidRDefault="00CD565E" w:rsidP="00D669D0">
                  <w:pPr>
                    <w:rPr>
                      <w:rFonts w:ascii="Gill Sans MT" w:hAnsi="Gill Sans MT"/>
                      <w:b/>
                      <w:sz w:val="28"/>
                      <w:szCs w:val="28"/>
                      <w:u w:val="single"/>
                    </w:rPr>
                  </w:pPr>
                  <w:r>
                    <w:rPr>
                      <w:rFonts w:ascii="Gill Sans MT" w:hAnsi="Gill Sans MT"/>
                      <w:sz w:val="28"/>
                      <w:szCs w:val="28"/>
                    </w:rPr>
                    <w:t>30</w:t>
                  </w:r>
                  <w:r w:rsidR="00D669D0">
                    <w:rPr>
                      <w:rFonts w:ascii="Gill Sans MT" w:hAnsi="Gill Sans MT"/>
                      <w:sz w:val="28"/>
                      <w:szCs w:val="28"/>
                    </w:rPr>
                    <w:t>% ARE</w:t>
                  </w:r>
                  <w:r>
                    <w:rPr>
                      <w:rFonts w:ascii="Gill Sans MT" w:hAnsi="Gill Sans MT"/>
                      <w:sz w:val="28"/>
                      <w:szCs w:val="28"/>
                    </w:rPr>
                    <w:t xml:space="preserve">+ in reading </w:t>
                  </w:r>
                  <w:r w:rsidR="00D669D0">
                    <w:rPr>
                      <w:rFonts w:ascii="Gill Sans MT" w:hAnsi="Gill Sans MT"/>
                      <w:sz w:val="28"/>
                      <w:szCs w:val="28"/>
                    </w:rPr>
                    <w:t xml:space="preserve"> </w:t>
                  </w:r>
                  <w:r>
                    <w:rPr>
                      <w:rFonts w:ascii="Gill Sans MT" w:hAnsi="Gill Sans MT"/>
                      <w:sz w:val="28"/>
                      <w:szCs w:val="28"/>
                    </w:rPr>
                    <w:t xml:space="preserve">    20</w:t>
                  </w:r>
                  <w:r w:rsidR="00D669D0">
                    <w:rPr>
                      <w:rFonts w:ascii="Gill Sans MT" w:hAnsi="Gill Sans MT"/>
                      <w:sz w:val="28"/>
                      <w:szCs w:val="28"/>
                    </w:rPr>
                    <w:t>% ARE</w:t>
                  </w:r>
                  <w:r>
                    <w:rPr>
                      <w:rFonts w:ascii="Gill Sans MT" w:hAnsi="Gill Sans MT"/>
                      <w:sz w:val="28"/>
                      <w:szCs w:val="28"/>
                    </w:rPr>
                    <w:t xml:space="preserve">+ in writing </w:t>
                  </w:r>
                  <w:r w:rsidR="00D669D0">
                    <w:rPr>
                      <w:rFonts w:ascii="Gill Sans MT" w:hAnsi="Gill Sans MT"/>
                      <w:sz w:val="28"/>
                      <w:szCs w:val="28"/>
                    </w:rPr>
                    <w:t xml:space="preserve"> </w:t>
                  </w:r>
                  <w:r>
                    <w:rPr>
                      <w:rFonts w:ascii="Gill Sans MT" w:hAnsi="Gill Sans MT"/>
                      <w:sz w:val="28"/>
                      <w:szCs w:val="28"/>
                    </w:rPr>
                    <w:t xml:space="preserve">    60</w:t>
                  </w:r>
                  <w:r w:rsidR="0028316A" w:rsidRPr="0028316A">
                    <w:rPr>
                      <w:rFonts w:ascii="Gill Sans MT" w:hAnsi="Gill Sans MT"/>
                      <w:sz w:val="28"/>
                      <w:szCs w:val="28"/>
                    </w:rPr>
                    <w:t>% ARE</w:t>
                  </w:r>
                  <w:r>
                    <w:rPr>
                      <w:rFonts w:ascii="Gill Sans MT" w:hAnsi="Gill Sans MT"/>
                      <w:sz w:val="28"/>
                      <w:szCs w:val="28"/>
                    </w:rPr>
                    <w:t>+</w:t>
                  </w:r>
                  <w:r w:rsidR="0028316A" w:rsidRPr="0028316A">
                    <w:rPr>
                      <w:rFonts w:ascii="Gill Sans MT" w:hAnsi="Gill Sans MT"/>
                      <w:sz w:val="28"/>
                      <w:szCs w:val="28"/>
                    </w:rPr>
                    <w:t xml:space="preserve"> in maths</w:t>
                  </w:r>
                  <w:r w:rsidR="00934C68">
                    <w:rPr>
                      <w:rFonts w:ascii="Gill Sans MT" w:hAnsi="Gill Sans MT"/>
                      <w:sz w:val="28"/>
                      <w:szCs w:val="28"/>
                    </w:rPr>
                    <w:t xml:space="preserve"> </w:t>
                  </w:r>
                </w:p>
              </w:tc>
            </w:tr>
            <w:tr w:rsidR="002C560F" w:rsidTr="0028316A">
              <w:trPr>
                <w:trHeight w:val="323"/>
              </w:trPr>
              <w:tc>
                <w:tcPr>
                  <w:tcW w:w="3103" w:type="dxa"/>
                </w:tcPr>
                <w:p w:rsidR="002C560F" w:rsidRPr="00F875FE" w:rsidRDefault="002C560F" w:rsidP="002C560F">
                  <w:pPr>
                    <w:rPr>
                      <w:rFonts w:ascii="Gill Sans MT" w:hAnsi="Gill Sans MT"/>
                      <w:b/>
                      <w:sz w:val="24"/>
                      <w:szCs w:val="24"/>
                    </w:rPr>
                  </w:pPr>
                  <w:r w:rsidRPr="00F875FE">
                    <w:rPr>
                      <w:rFonts w:ascii="Gill Sans MT" w:hAnsi="Gill Sans MT"/>
                      <w:b/>
                      <w:sz w:val="24"/>
                      <w:szCs w:val="24"/>
                    </w:rPr>
                    <w:t>3</w:t>
                  </w:r>
                </w:p>
              </w:tc>
              <w:tc>
                <w:tcPr>
                  <w:tcW w:w="11400" w:type="dxa"/>
                </w:tcPr>
                <w:p w:rsidR="002C560F" w:rsidRPr="0028316A" w:rsidRDefault="00CD565E" w:rsidP="002C560F">
                  <w:pPr>
                    <w:rPr>
                      <w:rFonts w:ascii="Gill Sans MT" w:hAnsi="Gill Sans MT"/>
                      <w:b/>
                      <w:sz w:val="28"/>
                      <w:szCs w:val="28"/>
                      <w:u w:val="single"/>
                    </w:rPr>
                  </w:pPr>
                  <w:r>
                    <w:rPr>
                      <w:rFonts w:ascii="Gill Sans MT" w:hAnsi="Gill Sans MT"/>
                      <w:sz w:val="28"/>
                      <w:szCs w:val="28"/>
                    </w:rPr>
                    <w:t>50</w:t>
                  </w:r>
                  <w:r w:rsidR="00D669D0">
                    <w:rPr>
                      <w:rFonts w:ascii="Gill Sans MT" w:hAnsi="Gill Sans MT"/>
                      <w:sz w:val="28"/>
                      <w:szCs w:val="28"/>
                    </w:rPr>
                    <w:t>% ARE</w:t>
                  </w:r>
                  <w:r>
                    <w:rPr>
                      <w:rFonts w:ascii="Gill Sans MT" w:hAnsi="Gill Sans MT"/>
                      <w:sz w:val="28"/>
                      <w:szCs w:val="28"/>
                    </w:rPr>
                    <w:t xml:space="preserve">+ in reading </w:t>
                  </w:r>
                  <w:r w:rsidR="00D669D0">
                    <w:rPr>
                      <w:rFonts w:ascii="Gill Sans MT" w:hAnsi="Gill Sans MT"/>
                      <w:sz w:val="28"/>
                      <w:szCs w:val="28"/>
                    </w:rPr>
                    <w:t xml:space="preserve"> </w:t>
                  </w:r>
                  <w:r>
                    <w:rPr>
                      <w:rFonts w:ascii="Gill Sans MT" w:hAnsi="Gill Sans MT"/>
                      <w:sz w:val="28"/>
                      <w:szCs w:val="28"/>
                    </w:rPr>
                    <w:t xml:space="preserve">    36</w:t>
                  </w:r>
                  <w:r w:rsidR="00D669D0">
                    <w:rPr>
                      <w:rFonts w:ascii="Gill Sans MT" w:hAnsi="Gill Sans MT"/>
                      <w:sz w:val="28"/>
                      <w:szCs w:val="28"/>
                    </w:rPr>
                    <w:t>% ARE</w:t>
                  </w:r>
                  <w:r>
                    <w:rPr>
                      <w:rFonts w:ascii="Gill Sans MT" w:hAnsi="Gill Sans MT"/>
                      <w:sz w:val="28"/>
                      <w:szCs w:val="28"/>
                    </w:rPr>
                    <w:t xml:space="preserve">+ in writing </w:t>
                  </w:r>
                  <w:r w:rsidR="00D669D0">
                    <w:rPr>
                      <w:rFonts w:ascii="Gill Sans MT" w:hAnsi="Gill Sans MT"/>
                      <w:sz w:val="28"/>
                      <w:szCs w:val="28"/>
                    </w:rPr>
                    <w:t xml:space="preserve"> </w:t>
                  </w:r>
                  <w:r>
                    <w:rPr>
                      <w:rFonts w:ascii="Gill Sans MT" w:hAnsi="Gill Sans MT"/>
                      <w:sz w:val="28"/>
                      <w:szCs w:val="28"/>
                    </w:rPr>
                    <w:t xml:space="preserve">    50</w:t>
                  </w:r>
                  <w:r w:rsidR="0028316A" w:rsidRPr="0028316A">
                    <w:rPr>
                      <w:rFonts w:ascii="Gill Sans MT" w:hAnsi="Gill Sans MT"/>
                      <w:sz w:val="28"/>
                      <w:szCs w:val="28"/>
                    </w:rPr>
                    <w:t>% ARE</w:t>
                  </w:r>
                  <w:r>
                    <w:rPr>
                      <w:rFonts w:ascii="Gill Sans MT" w:hAnsi="Gill Sans MT"/>
                      <w:sz w:val="28"/>
                      <w:szCs w:val="28"/>
                    </w:rPr>
                    <w:t>+</w:t>
                  </w:r>
                  <w:r w:rsidR="0028316A" w:rsidRPr="0028316A">
                    <w:rPr>
                      <w:rFonts w:ascii="Gill Sans MT" w:hAnsi="Gill Sans MT"/>
                      <w:sz w:val="28"/>
                      <w:szCs w:val="28"/>
                    </w:rPr>
                    <w:t xml:space="preserve"> in maths</w:t>
                  </w:r>
                </w:p>
              </w:tc>
            </w:tr>
            <w:tr w:rsidR="002C560F" w:rsidTr="0028316A">
              <w:trPr>
                <w:trHeight w:val="323"/>
              </w:trPr>
              <w:tc>
                <w:tcPr>
                  <w:tcW w:w="3103" w:type="dxa"/>
                </w:tcPr>
                <w:p w:rsidR="002C560F" w:rsidRPr="00F875FE" w:rsidRDefault="002C560F" w:rsidP="002C560F">
                  <w:pPr>
                    <w:rPr>
                      <w:rFonts w:ascii="Gill Sans MT" w:hAnsi="Gill Sans MT"/>
                      <w:b/>
                      <w:sz w:val="24"/>
                      <w:szCs w:val="24"/>
                    </w:rPr>
                  </w:pPr>
                  <w:r w:rsidRPr="00F875FE">
                    <w:rPr>
                      <w:rFonts w:ascii="Gill Sans MT" w:hAnsi="Gill Sans MT"/>
                      <w:b/>
                      <w:sz w:val="24"/>
                      <w:szCs w:val="24"/>
                    </w:rPr>
                    <w:t>4</w:t>
                  </w:r>
                </w:p>
              </w:tc>
              <w:tc>
                <w:tcPr>
                  <w:tcW w:w="11400" w:type="dxa"/>
                </w:tcPr>
                <w:p w:rsidR="002C560F" w:rsidRPr="0028316A" w:rsidRDefault="00CD565E" w:rsidP="002C560F">
                  <w:pPr>
                    <w:rPr>
                      <w:rFonts w:ascii="Gill Sans MT" w:hAnsi="Gill Sans MT"/>
                      <w:b/>
                      <w:sz w:val="28"/>
                      <w:szCs w:val="28"/>
                      <w:u w:val="single"/>
                    </w:rPr>
                  </w:pPr>
                  <w:r>
                    <w:rPr>
                      <w:rFonts w:ascii="Gill Sans MT" w:hAnsi="Gill Sans MT"/>
                      <w:sz w:val="28"/>
                      <w:szCs w:val="28"/>
                    </w:rPr>
                    <w:t>50</w:t>
                  </w:r>
                  <w:r w:rsidR="00D669D0">
                    <w:rPr>
                      <w:rFonts w:ascii="Gill Sans MT" w:hAnsi="Gill Sans MT"/>
                      <w:sz w:val="28"/>
                      <w:szCs w:val="28"/>
                    </w:rPr>
                    <w:t>% ARE</w:t>
                  </w:r>
                  <w:r>
                    <w:rPr>
                      <w:rFonts w:ascii="Gill Sans MT" w:hAnsi="Gill Sans MT"/>
                      <w:sz w:val="28"/>
                      <w:szCs w:val="28"/>
                    </w:rPr>
                    <w:t>+ in reading      67</w:t>
                  </w:r>
                  <w:r w:rsidR="00D669D0">
                    <w:rPr>
                      <w:rFonts w:ascii="Gill Sans MT" w:hAnsi="Gill Sans MT"/>
                      <w:sz w:val="28"/>
                      <w:szCs w:val="28"/>
                    </w:rPr>
                    <w:t>% ARE</w:t>
                  </w:r>
                  <w:r>
                    <w:rPr>
                      <w:rFonts w:ascii="Gill Sans MT" w:hAnsi="Gill Sans MT"/>
                      <w:sz w:val="28"/>
                      <w:szCs w:val="28"/>
                    </w:rPr>
                    <w:t xml:space="preserve">+ in writing </w:t>
                  </w:r>
                  <w:r w:rsidR="00D669D0">
                    <w:rPr>
                      <w:rFonts w:ascii="Gill Sans MT" w:hAnsi="Gill Sans MT"/>
                      <w:sz w:val="28"/>
                      <w:szCs w:val="28"/>
                    </w:rPr>
                    <w:t xml:space="preserve"> </w:t>
                  </w:r>
                  <w:r>
                    <w:rPr>
                      <w:rFonts w:ascii="Gill Sans MT" w:hAnsi="Gill Sans MT"/>
                      <w:sz w:val="28"/>
                      <w:szCs w:val="28"/>
                    </w:rPr>
                    <w:t xml:space="preserve">    6</w:t>
                  </w:r>
                  <w:r w:rsidR="00D669D0">
                    <w:rPr>
                      <w:rFonts w:ascii="Gill Sans MT" w:hAnsi="Gill Sans MT"/>
                      <w:sz w:val="28"/>
                      <w:szCs w:val="28"/>
                    </w:rPr>
                    <w:t>7</w:t>
                  </w:r>
                  <w:r w:rsidR="0028316A" w:rsidRPr="0028316A">
                    <w:rPr>
                      <w:rFonts w:ascii="Gill Sans MT" w:hAnsi="Gill Sans MT"/>
                      <w:sz w:val="28"/>
                      <w:szCs w:val="28"/>
                    </w:rPr>
                    <w:t>% ARE</w:t>
                  </w:r>
                  <w:r>
                    <w:rPr>
                      <w:rFonts w:ascii="Gill Sans MT" w:hAnsi="Gill Sans MT"/>
                      <w:sz w:val="28"/>
                      <w:szCs w:val="28"/>
                    </w:rPr>
                    <w:t>+</w:t>
                  </w:r>
                  <w:r w:rsidR="0028316A" w:rsidRPr="0028316A">
                    <w:rPr>
                      <w:rFonts w:ascii="Gill Sans MT" w:hAnsi="Gill Sans MT"/>
                      <w:sz w:val="28"/>
                      <w:szCs w:val="28"/>
                    </w:rPr>
                    <w:t xml:space="preserve"> in maths</w:t>
                  </w:r>
                </w:p>
              </w:tc>
            </w:tr>
            <w:tr w:rsidR="002C560F" w:rsidTr="0028316A">
              <w:trPr>
                <w:trHeight w:val="323"/>
              </w:trPr>
              <w:tc>
                <w:tcPr>
                  <w:tcW w:w="3103" w:type="dxa"/>
                </w:tcPr>
                <w:p w:rsidR="002C560F" w:rsidRPr="00F875FE" w:rsidRDefault="002C560F" w:rsidP="002C560F">
                  <w:pPr>
                    <w:rPr>
                      <w:rFonts w:ascii="Gill Sans MT" w:hAnsi="Gill Sans MT"/>
                      <w:b/>
                      <w:sz w:val="24"/>
                      <w:szCs w:val="24"/>
                    </w:rPr>
                  </w:pPr>
                  <w:r w:rsidRPr="00F875FE">
                    <w:rPr>
                      <w:rFonts w:ascii="Gill Sans MT" w:hAnsi="Gill Sans MT"/>
                      <w:b/>
                      <w:sz w:val="24"/>
                      <w:szCs w:val="24"/>
                    </w:rPr>
                    <w:t>5</w:t>
                  </w:r>
                </w:p>
              </w:tc>
              <w:tc>
                <w:tcPr>
                  <w:tcW w:w="11400" w:type="dxa"/>
                </w:tcPr>
                <w:p w:rsidR="002C560F" w:rsidRPr="0028316A" w:rsidRDefault="00CD565E" w:rsidP="002C560F">
                  <w:pPr>
                    <w:rPr>
                      <w:rFonts w:ascii="Gill Sans MT" w:hAnsi="Gill Sans MT"/>
                      <w:b/>
                      <w:sz w:val="28"/>
                      <w:szCs w:val="28"/>
                      <w:u w:val="single"/>
                    </w:rPr>
                  </w:pPr>
                  <w:r>
                    <w:rPr>
                      <w:rFonts w:ascii="Gill Sans MT" w:hAnsi="Gill Sans MT"/>
                      <w:sz w:val="28"/>
                      <w:szCs w:val="28"/>
                    </w:rPr>
                    <w:t>73</w:t>
                  </w:r>
                  <w:r w:rsidR="00D669D0">
                    <w:rPr>
                      <w:rFonts w:ascii="Gill Sans MT" w:hAnsi="Gill Sans MT"/>
                      <w:sz w:val="28"/>
                      <w:szCs w:val="28"/>
                    </w:rPr>
                    <w:t>% ARE</w:t>
                  </w:r>
                  <w:r>
                    <w:rPr>
                      <w:rFonts w:ascii="Gill Sans MT" w:hAnsi="Gill Sans MT"/>
                      <w:sz w:val="28"/>
                      <w:szCs w:val="28"/>
                    </w:rPr>
                    <w:t>+ in reading</w:t>
                  </w:r>
                  <w:r w:rsidR="00D669D0">
                    <w:rPr>
                      <w:rFonts w:ascii="Gill Sans MT" w:hAnsi="Gill Sans MT"/>
                      <w:sz w:val="28"/>
                      <w:szCs w:val="28"/>
                    </w:rPr>
                    <w:t xml:space="preserve"> </w:t>
                  </w:r>
                  <w:r>
                    <w:rPr>
                      <w:rFonts w:ascii="Gill Sans MT" w:hAnsi="Gill Sans MT"/>
                      <w:sz w:val="28"/>
                      <w:szCs w:val="28"/>
                    </w:rPr>
                    <w:t xml:space="preserve">     73</w:t>
                  </w:r>
                  <w:r w:rsidR="00D669D0">
                    <w:rPr>
                      <w:rFonts w:ascii="Gill Sans MT" w:hAnsi="Gill Sans MT"/>
                      <w:sz w:val="28"/>
                      <w:szCs w:val="28"/>
                    </w:rPr>
                    <w:t>% ARE</w:t>
                  </w:r>
                  <w:r>
                    <w:rPr>
                      <w:rFonts w:ascii="Gill Sans MT" w:hAnsi="Gill Sans MT"/>
                      <w:sz w:val="28"/>
                      <w:szCs w:val="28"/>
                    </w:rPr>
                    <w:t xml:space="preserve">+ in writing   </w:t>
                  </w:r>
                  <w:r w:rsidR="00D669D0">
                    <w:rPr>
                      <w:rFonts w:ascii="Gill Sans MT" w:hAnsi="Gill Sans MT"/>
                      <w:sz w:val="28"/>
                      <w:szCs w:val="28"/>
                    </w:rPr>
                    <w:t xml:space="preserve"> </w:t>
                  </w:r>
                  <w:r>
                    <w:rPr>
                      <w:rFonts w:ascii="Gill Sans MT" w:hAnsi="Gill Sans MT"/>
                      <w:sz w:val="28"/>
                      <w:szCs w:val="28"/>
                    </w:rPr>
                    <w:t xml:space="preserve">  73</w:t>
                  </w:r>
                  <w:r w:rsidR="0028316A" w:rsidRPr="0028316A">
                    <w:rPr>
                      <w:rFonts w:ascii="Gill Sans MT" w:hAnsi="Gill Sans MT"/>
                      <w:sz w:val="28"/>
                      <w:szCs w:val="28"/>
                    </w:rPr>
                    <w:t>% ARE</w:t>
                  </w:r>
                  <w:r>
                    <w:rPr>
                      <w:rFonts w:ascii="Gill Sans MT" w:hAnsi="Gill Sans MT"/>
                      <w:sz w:val="28"/>
                      <w:szCs w:val="28"/>
                    </w:rPr>
                    <w:t>+</w:t>
                  </w:r>
                  <w:r w:rsidR="0028316A" w:rsidRPr="0028316A">
                    <w:rPr>
                      <w:rFonts w:ascii="Gill Sans MT" w:hAnsi="Gill Sans MT"/>
                      <w:sz w:val="28"/>
                      <w:szCs w:val="28"/>
                    </w:rPr>
                    <w:t xml:space="preserve"> in maths</w:t>
                  </w:r>
                </w:p>
              </w:tc>
            </w:tr>
            <w:tr w:rsidR="002C560F" w:rsidTr="0028316A">
              <w:trPr>
                <w:trHeight w:val="323"/>
              </w:trPr>
              <w:tc>
                <w:tcPr>
                  <w:tcW w:w="3103" w:type="dxa"/>
                </w:tcPr>
                <w:p w:rsidR="002C560F" w:rsidRPr="00F875FE" w:rsidRDefault="002C560F" w:rsidP="002C560F">
                  <w:pPr>
                    <w:rPr>
                      <w:rFonts w:ascii="Gill Sans MT" w:hAnsi="Gill Sans MT"/>
                      <w:b/>
                      <w:sz w:val="24"/>
                      <w:szCs w:val="24"/>
                    </w:rPr>
                  </w:pPr>
                  <w:r w:rsidRPr="00F875FE">
                    <w:rPr>
                      <w:rFonts w:ascii="Gill Sans MT" w:hAnsi="Gill Sans MT"/>
                      <w:b/>
                      <w:sz w:val="24"/>
                      <w:szCs w:val="24"/>
                    </w:rPr>
                    <w:t>6</w:t>
                  </w:r>
                </w:p>
              </w:tc>
              <w:tc>
                <w:tcPr>
                  <w:tcW w:w="11400" w:type="dxa"/>
                </w:tcPr>
                <w:p w:rsidR="002C560F" w:rsidRPr="0028316A" w:rsidRDefault="00CD565E" w:rsidP="002C560F">
                  <w:pPr>
                    <w:rPr>
                      <w:rFonts w:ascii="Gill Sans MT" w:hAnsi="Gill Sans MT"/>
                      <w:sz w:val="28"/>
                      <w:szCs w:val="28"/>
                    </w:rPr>
                  </w:pPr>
                  <w:r>
                    <w:rPr>
                      <w:rFonts w:ascii="Gill Sans MT" w:hAnsi="Gill Sans MT"/>
                      <w:sz w:val="28"/>
                      <w:szCs w:val="28"/>
                    </w:rPr>
                    <w:t>60</w:t>
                  </w:r>
                  <w:r w:rsidR="007E7C0F">
                    <w:rPr>
                      <w:rFonts w:ascii="Gill Sans MT" w:hAnsi="Gill Sans MT"/>
                      <w:sz w:val="28"/>
                      <w:szCs w:val="28"/>
                    </w:rPr>
                    <w:t>% ARE</w:t>
                  </w:r>
                  <w:r>
                    <w:rPr>
                      <w:rFonts w:ascii="Gill Sans MT" w:hAnsi="Gill Sans MT"/>
                      <w:sz w:val="28"/>
                      <w:szCs w:val="28"/>
                    </w:rPr>
                    <w:t xml:space="preserve">+ in reading </w:t>
                  </w:r>
                  <w:r w:rsidR="007E7C0F">
                    <w:rPr>
                      <w:rFonts w:ascii="Gill Sans MT" w:hAnsi="Gill Sans MT"/>
                      <w:sz w:val="28"/>
                      <w:szCs w:val="28"/>
                    </w:rPr>
                    <w:t xml:space="preserve"> </w:t>
                  </w:r>
                  <w:r>
                    <w:rPr>
                      <w:rFonts w:ascii="Gill Sans MT" w:hAnsi="Gill Sans MT"/>
                      <w:sz w:val="28"/>
                      <w:szCs w:val="28"/>
                    </w:rPr>
                    <w:t xml:space="preserve">    80</w:t>
                  </w:r>
                  <w:r w:rsidR="007E7C0F">
                    <w:rPr>
                      <w:rFonts w:ascii="Gill Sans MT" w:hAnsi="Gill Sans MT"/>
                      <w:sz w:val="28"/>
                      <w:szCs w:val="28"/>
                    </w:rPr>
                    <w:t>% ARE</w:t>
                  </w:r>
                  <w:r>
                    <w:rPr>
                      <w:rFonts w:ascii="Gill Sans MT" w:hAnsi="Gill Sans MT"/>
                      <w:sz w:val="28"/>
                      <w:szCs w:val="28"/>
                    </w:rPr>
                    <w:t xml:space="preserve">+ in writing   </w:t>
                  </w:r>
                  <w:r w:rsidR="007E7C0F">
                    <w:rPr>
                      <w:rFonts w:ascii="Gill Sans MT" w:hAnsi="Gill Sans MT"/>
                      <w:sz w:val="28"/>
                      <w:szCs w:val="28"/>
                    </w:rPr>
                    <w:t xml:space="preserve"> </w:t>
                  </w:r>
                  <w:r>
                    <w:rPr>
                      <w:rFonts w:ascii="Gill Sans MT" w:hAnsi="Gill Sans MT"/>
                      <w:sz w:val="28"/>
                      <w:szCs w:val="28"/>
                    </w:rPr>
                    <w:t xml:space="preserve">  70</w:t>
                  </w:r>
                  <w:r w:rsidR="0028316A" w:rsidRPr="0028316A">
                    <w:rPr>
                      <w:rFonts w:ascii="Gill Sans MT" w:hAnsi="Gill Sans MT"/>
                      <w:sz w:val="28"/>
                      <w:szCs w:val="28"/>
                    </w:rPr>
                    <w:t>% ARE</w:t>
                  </w:r>
                  <w:r>
                    <w:rPr>
                      <w:rFonts w:ascii="Gill Sans MT" w:hAnsi="Gill Sans MT"/>
                      <w:sz w:val="28"/>
                      <w:szCs w:val="28"/>
                    </w:rPr>
                    <w:t>+</w:t>
                  </w:r>
                  <w:r w:rsidR="0028316A" w:rsidRPr="0028316A">
                    <w:rPr>
                      <w:rFonts w:ascii="Gill Sans MT" w:hAnsi="Gill Sans MT"/>
                      <w:sz w:val="28"/>
                      <w:szCs w:val="28"/>
                    </w:rPr>
                    <w:t xml:space="preserve"> in maths</w:t>
                  </w:r>
                  <w:r>
                    <w:rPr>
                      <w:rFonts w:ascii="Gill Sans MT" w:hAnsi="Gill Sans MT"/>
                      <w:sz w:val="28"/>
                      <w:szCs w:val="28"/>
                    </w:rPr>
                    <w:t xml:space="preserve"> (DAP combined 60%)</w:t>
                  </w:r>
                </w:p>
              </w:tc>
            </w:tr>
          </w:tbl>
          <w:p w:rsidR="00D669D0" w:rsidRDefault="00D669D0" w:rsidP="00987FC6">
            <w:pPr>
              <w:rPr>
                <w:b/>
                <w:sz w:val="28"/>
              </w:rPr>
            </w:pPr>
          </w:p>
          <w:p w:rsidR="00D669D0" w:rsidRDefault="00D669D0" w:rsidP="00987FC6">
            <w:pPr>
              <w:rPr>
                <w:b/>
                <w:sz w:val="28"/>
              </w:rPr>
            </w:pPr>
          </w:p>
        </w:tc>
      </w:tr>
      <w:tr w:rsidR="007A0DE2" w:rsidTr="00E718ED">
        <w:tc>
          <w:tcPr>
            <w:tcW w:w="15752" w:type="dxa"/>
            <w:gridSpan w:val="8"/>
            <w:shd w:val="clear" w:color="auto" w:fill="9CC2E5" w:themeFill="accent1" w:themeFillTint="99"/>
          </w:tcPr>
          <w:p w:rsidR="007A0DE2" w:rsidRDefault="00E72055" w:rsidP="00987FC6">
            <w:pPr>
              <w:rPr>
                <w:b/>
                <w:sz w:val="28"/>
              </w:rPr>
            </w:pPr>
            <w:r>
              <w:rPr>
                <w:b/>
                <w:sz w:val="28"/>
              </w:rPr>
              <w:t>3 Year Strategy</w:t>
            </w:r>
            <w:r w:rsidR="00CD565E">
              <w:rPr>
                <w:b/>
                <w:sz w:val="28"/>
              </w:rPr>
              <w:t>:</w:t>
            </w:r>
            <w:r>
              <w:rPr>
                <w:b/>
                <w:sz w:val="28"/>
              </w:rPr>
              <w:t xml:space="preserve"> 2021-2024 </w:t>
            </w:r>
            <w:r w:rsidR="00D669D0">
              <w:rPr>
                <w:b/>
                <w:sz w:val="28"/>
              </w:rPr>
              <w:t>Challenges</w:t>
            </w:r>
          </w:p>
        </w:tc>
      </w:tr>
      <w:tr w:rsidR="00694345" w:rsidTr="00E718ED">
        <w:tc>
          <w:tcPr>
            <w:tcW w:w="15752" w:type="dxa"/>
            <w:gridSpan w:val="8"/>
            <w:shd w:val="clear" w:color="auto" w:fill="FFFFFF" w:themeFill="background1"/>
          </w:tcPr>
          <w:p w:rsidR="00961254" w:rsidRPr="00D669D0" w:rsidRDefault="00D669D0" w:rsidP="00D669D0">
            <w:pPr>
              <w:pStyle w:val="ListParagraph"/>
              <w:numPr>
                <w:ilvl w:val="0"/>
                <w:numId w:val="3"/>
              </w:numPr>
              <w:rPr>
                <w:b/>
                <w:sz w:val="28"/>
              </w:rPr>
            </w:pPr>
            <w:r w:rsidRPr="00D669D0">
              <w:rPr>
                <w:rFonts w:ascii="Arial" w:eastAsia="Times New Roman" w:hAnsi="Arial" w:cs="Times New Roman"/>
                <w:color w:val="0D0D0D"/>
                <w:sz w:val="24"/>
                <w:szCs w:val="24"/>
                <w:lang w:eastAsia="en-GB"/>
              </w:rPr>
              <w:t>Although there have been small steps of improvement, the attainment of our disadvantaged pupils at the end of KS2 has been lower than that of non-disadvantaged pupils.</w:t>
            </w:r>
          </w:p>
          <w:p w:rsidR="00D669D0" w:rsidRPr="00D669D0" w:rsidRDefault="00D669D0" w:rsidP="00D669D0">
            <w:pPr>
              <w:pStyle w:val="ListParagraph"/>
              <w:numPr>
                <w:ilvl w:val="0"/>
                <w:numId w:val="3"/>
              </w:numPr>
              <w:rPr>
                <w:b/>
                <w:sz w:val="28"/>
              </w:rPr>
            </w:pPr>
            <w:r w:rsidRPr="00D669D0">
              <w:rPr>
                <w:rFonts w:ascii="Arial" w:eastAsia="Times New Roman" w:hAnsi="Arial" w:cs="Times New Roman"/>
                <w:color w:val="0D0D0D"/>
                <w:sz w:val="24"/>
                <w:szCs w:val="24"/>
                <w:lang w:eastAsia="en-GB"/>
              </w:rPr>
              <w:t>Our disadvantaged pupils start school with below average speech, language and communication. Our challenge is to ensure a high proportion of KS1 children pass the phonics screening check (in line with or above national average)</w:t>
            </w:r>
          </w:p>
          <w:p w:rsidR="00D669D0" w:rsidRPr="00D669D0" w:rsidRDefault="00D669D0" w:rsidP="00D669D0">
            <w:pPr>
              <w:pStyle w:val="ListParagraph"/>
              <w:numPr>
                <w:ilvl w:val="0"/>
                <w:numId w:val="3"/>
              </w:numPr>
              <w:rPr>
                <w:b/>
                <w:sz w:val="28"/>
              </w:rPr>
            </w:pPr>
            <w:r w:rsidRPr="00D669D0">
              <w:rPr>
                <w:rFonts w:ascii="Arial" w:eastAsia="Times New Roman" w:hAnsi="Arial" w:cs="Times New Roman"/>
                <w:color w:val="0D0D0D"/>
                <w:sz w:val="24"/>
                <w:szCs w:val="24"/>
                <w:lang w:eastAsia="en-GB"/>
              </w:rPr>
              <w:t xml:space="preserve">Many of our families struggle to engage in home learning opportunities and our disadvantaged children have limited opportunities to use technology for learning at home.  </w:t>
            </w:r>
          </w:p>
          <w:p w:rsidR="00D669D0" w:rsidRPr="00D669D0" w:rsidRDefault="00D669D0" w:rsidP="00D669D0">
            <w:pPr>
              <w:pStyle w:val="ListParagraph"/>
              <w:numPr>
                <w:ilvl w:val="0"/>
                <w:numId w:val="3"/>
              </w:numPr>
              <w:rPr>
                <w:b/>
                <w:sz w:val="28"/>
              </w:rPr>
            </w:pPr>
            <w:r w:rsidRPr="00D669D0">
              <w:rPr>
                <w:rFonts w:ascii="Arial" w:eastAsia="Times New Roman" w:hAnsi="Arial" w:cs="Times New Roman"/>
                <w:iCs/>
                <w:color w:val="0D0D0D"/>
                <w:sz w:val="24"/>
                <w:szCs w:val="24"/>
                <w:lang w:eastAsia="en-GB"/>
              </w:rPr>
              <w:t>Very few disadvantaged pupils’ access sports clubs outside of school compared to non-disadvantaged pupils.</w:t>
            </w:r>
          </w:p>
          <w:p w:rsidR="00D669D0" w:rsidRPr="00D669D0" w:rsidRDefault="00D669D0" w:rsidP="00D669D0">
            <w:pPr>
              <w:pStyle w:val="ListParagraph"/>
              <w:numPr>
                <w:ilvl w:val="0"/>
                <w:numId w:val="3"/>
              </w:numPr>
              <w:rPr>
                <w:b/>
                <w:sz w:val="28"/>
              </w:rPr>
            </w:pPr>
            <w:r w:rsidRPr="00D669D0">
              <w:rPr>
                <w:rFonts w:ascii="Arial" w:eastAsia="Times New Roman" w:hAnsi="Arial" w:cs="Times New Roman"/>
                <w:iCs/>
                <w:color w:val="0D0D0D"/>
                <w:sz w:val="24"/>
                <w:szCs w:val="24"/>
                <w:lang w:eastAsia="en-GB"/>
              </w:rPr>
              <w:t>Many of our disadvantaged children have experienced ACES and emotional anxiety that impacts their well-being and engagement in school.</w:t>
            </w:r>
          </w:p>
          <w:p w:rsidR="00D669D0" w:rsidRDefault="00D669D0" w:rsidP="00D669D0">
            <w:pPr>
              <w:rPr>
                <w:b/>
                <w:sz w:val="28"/>
              </w:rPr>
            </w:pPr>
          </w:p>
          <w:p w:rsidR="00D669D0" w:rsidRPr="00961254" w:rsidRDefault="00D669D0" w:rsidP="00D669D0">
            <w:pPr>
              <w:rPr>
                <w:b/>
                <w:sz w:val="28"/>
              </w:rPr>
            </w:pPr>
          </w:p>
        </w:tc>
      </w:tr>
      <w:tr w:rsidR="007A0DE2" w:rsidTr="00E718ED">
        <w:tc>
          <w:tcPr>
            <w:tcW w:w="15752" w:type="dxa"/>
            <w:gridSpan w:val="8"/>
            <w:shd w:val="clear" w:color="auto" w:fill="9CC2E5" w:themeFill="accent1" w:themeFillTint="99"/>
          </w:tcPr>
          <w:p w:rsidR="007A0DE2" w:rsidRDefault="00291608" w:rsidP="00291608">
            <w:pPr>
              <w:rPr>
                <w:b/>
                <w:sz w:val="28"/>
              </w:rPr>
            </w:pPr>
            <w:r>
              <w:rPr>
                <w:b/>
                <w:sz w:val="28"/>
              </w:rPr>
              <w:lastRenderedPageBreak/>
              <w:t>Ch</w:t>
            </w:r>
            <w:r w:rsidR="001C7DCB">
              <w:rPr>
                <w:b/>
                <w:sz w:val="28"/>
              </w:rPr>
              <w:t>allenges and outcome for 2023-20</w:t>
            </w:r>
            <w:r w:rsidR="00CD565E">
              <w:rPr>
                <w:b/>
                <w:sz w:val="28"/>
              </w:rPr>
              <w:t>24</w:t>
            </w:r>
          </w:p>
        </w:tc>
      </w:tr>
      <w:tr w:rsidR="00934C68" w:rsidTr="00ED548E">
        <w:trPr>
          <w:trHeight w:val="689"/>
        </w:trPr>
        <w:tc>
          <w:tcPr>
            <w:tcW w:w="5210" w:type="dxa"/>
            <w:gridSpan w:val="3"/>
          </w:tcPr>
          <w:p w:rsidR="00934C68" w:rsidRDefault="00291608" w:rsidP="00A0414E">
            <w:pPr>
              <w:jc w:val="center"/>
              <w:rPr>
                <w:b/>
                <w:sz w:val="28"/>
              </w:rPr>
            </w:pPr>
            <w:r>
              <w:rPr>
                <w:b/>
                <w:sz w:val="28"/>
              </w:rPr>
              <w:t>Intended outcome</w:t>
            </w:r>
          </w:p>
        </w:tc>
        <w:tc>
          <w:tcPr>
            <w:tcW w:w="10542" w:type="dxa"/>
            <w:gridSpan w:val="5"/>
          </w:tcPr>
          <w:p w:rsidR="00934C68" w:rsidRDefault="00934C68" w:rsidP="00392299">
            <w:pPr>
              <w:jc w:val="center"/>
              <w:rPr>
                <w:b/>
                <w:sz w:val="28"/>
              </w:rPr>
            </w:pPr>
            <w:r>
              <w:rPr>
                <w:b/>
                <w:sz w:val="28"/>
              </w:rPr>
              <w:t>Review</w:t>
            </w:r>
          </w:p>
        </w:tc>
      </w:tr>
      <w:tr w:rsidR="00291608" w:rsidTr="00ED548E">
        <w:trPr>
          <w:cantSplit/>
          <w:trHeight w:val="1628"/>
        </w:trPr>
        <w:tc>
          <w:tcPr>
            <w:tcW w:w="5210" w:type="dxa"/>
            <w:gridSpan w:val="3"/>
          </w:tcPr>
          <w:p w:rsidR="00291608" w:rsidRPr="0077599E" w:rsidRDefault="00291608" w:rsidP="00694345">
            <w:pPr>
              <w:jc w:val="center"/>
              <w:rPr>
                <w:rFonts w:ascii="Arial" w:hAnsi="Arial" w:cs="Arial"/>
                <w:sz w:val="24"/>
              </w:rPr>
            </w:pPr>
          </w:p>
          <w:p w:rsidR="00291608" w:rsidRPr="0077599E" w:rsidRDefault="00291608" w:rsidP="00E718ED">
            <w:pPr>
              <w:rPr>
                <w:rFonts w:ascii="Arial" w:hAnsi="Arial" w:cs="Arial"/>
                <w:sz w:val="24"/>
              </w:rPr>
            </w:pPr>
            <w:r w:rsidRPr="0077599E">
              <w:rPr>
                <w:rFonts w:ascii="Arial" w:eastAsia="Times New Roman" w:hAnsi="Arial" w:cs="Arial"/>
                <w:color w:val="0D0D0D"/>
                <w:sz w:val="24"/>
                <w:szCs w:val="24"/>
                <w:lang w:eastAsia="en-GB"/>
              </w:rPr>
              <w:t>At the end of KS2, the percentage of disadvantaged children achieving the EXS+ is in line with or above non-disadvantaged.</w:t>
            </w:r>
          </w:p>
          <w:p w:rsidR="00291608" w:rsidRPr="0077599E" w:rsidRDefault="00291608" w:rsidP="00E718ED">
            <w:pPr>
              <w:rPr>
                <w:rFonts w:ascii="Arial" w:hAnsi="Arial" w:cs="Arial"/>
                <w:sz w:val="24"/>
              </w:rPr>
            </w:pPr>
          </w:p>
        </w:tc>
        <w:tc>
          <w:tcPr>
            <w:tcW w:w="10542" w:type="dxa"/>
            <w:gridSpan w:val="5"/>
          </w:tcPr>
          <w:p w:rsidR="007E7C0F" w:rsidRPr="0077599E" w:rsidRDefault="007E7C0F" w:rsidP="00934C68">
            <w:pPr>
              <w:rPr>
                <w:rFonts w:ascii="Arial" w:hAnsi="Arial" w:cs="Arial"/>
                <w:sz w:val="24"/>
              </w:rPr>
            </w:pPr>
          </w:p>
          <w:p w:rsidR="00FF1B39" w:rsidRDefault="00FF1B39" w:rsidP="00FF1B39">
            <w:pPr>
              <w:rPr>
                <w:rFonts w:ascii="Arial" w:hAnsi="Arial" w:cs="Arial"/>
                <w:sz w:val="24"/>
              </w:rPr>
            </w:pPr>
            <w:r>
              <w:rPr>
                <w:rFonts w:ascii="Arial" w:hAnsi="Arial" w:cs="Arial"/>
                <w:sz w:val="24"/>
              </w:rPr>
              <w:t>80</w:t>
            </w:r>
            <w:r w:rsidR="007E7C0F" w:rsidRPr="0077599E">
              <w:rPr>
                <w:rFonts w:ascii="Arial" w:hAnsi="Arial" w:cs="Arial"/>
                <w:sz w:val="24"/>
              </w:rPr>
              <w:t>% of DAP</w:t>
            </w:r>
            <w:r w:rsidR="00074A63" w:rsidRPr="0077599E">
              <w:rPr>
                <w:rFonts w:ascii="Arial" w:hAnsi="Arial" w:cs="Arial"/>
                <w:sz w:val="24"/>
              </w:rPr>
              <w:t>s</w:t>
            </w:r>
            <w:r w:rsidR="007E7C0F" w:rsidRPr="0077599E">
              <w:rPr>
                <w:rFonts w:ascii="Arial" w:hAnsi="Arial" w:cs="Arial"/>
                <w:sz w:val="24"/>
              </w:rPr>
              <w:t xml:space="preserve"> at the end of KS2 achieved the expected standard in writing</w:t>
            </w:r>
            <w:r>
              <w:rPr>
                <w:rFonts w:ascii="Arial" w:hAnsi="Arial" w:cs="Arial"/>
                <w:sz w:val="24"/>
              </w:rPr>
              <w:t>, 8% higher than the national average. This was an improvement compared to 57% of DAPs who achieved EXS+ for the previous year</w:t>
            </w:r>
            <w:r w:rsidR="007E7C0F" w:rsidRPr="0077599E">
              <w:rPr>
                <w:rFonts w:ascii="Arial" w:hAnsi="Arial" w:cs="Arial"/>
                <w:sz w:val="24"/>
              </w:rPr>
              <w:t xml:space="preserve">. </w:t>
            </w:r>
            <w:r>
              <w:rPr>
                <w:rFonts w:ascii="Arial" w:hAnsi="Arial" w:cs="Arial"/>
                <w:sz w:val="24"/>
              </w:rPr>
              <w:t xml:space="preserve">Additional support for DAPs in daily writing lesson ensured gaps in learning were plugged each day and the children were able to access high quality support. </w:t>
            </w:r>
          </w:p>
          <w:p w:rsidR="00FF1B39" w:rsidRDefault="00FF1B39" w:rsidP="00FF1B39">
            <w:pPr>
              <w:rPr>
                <w:rFonts w:ascii="Arial" w:hAnsi="Arial" w:cs="Arial"/>
                <w:sz w:val="24"/>
              </w:rPr>
            </w:pPr>
          </w:p>
          <w:p w:rsidR="00FF1B39" w:rsidRDefault="00FF1B39" w:rsidP="00FF1B39">
            <w:pPr>
              <w:rPr>
                <w:rFonts w:ascii="Arial" w:hAnsi="Arial" w:cs="Arial"/>
                <w:sz w:val="24"/>
              </w:rPr>
            </w:pPr>
            <w:r>
              <w:rPr>
                <w:rFonts w:ascii="Arial" w:hAnsi="Arial" w:cs="Arial"/>
                <w:sz w:val="24"/>
              </w:rPr>
              <w:t xml:space="preserve">70% </w:t>
            </w:r>
            <w:r w:rsidR="007E7C0F" w:rsidRPr="0077599E">
              <w:rPr>
                <w:rFonts w:ascii="Arial" w:hAnsi="Arial" w:cs="Arial"/>
                <w:sz w:val="24"/>
              </w:rPr>
              <w:t>of DAP</w:t>
            </w:r>
            <w:r w:rsidR="00074A63" w:rsidRPr="0077599E">
              <w:rPr>
                <w:rFonts w:ascii="Arial" w:hAnsi="Arial" w:cs="Arial"/>
                <w:sz w:val="24"/>
              </w:rPr>
              <w:t>s achieved EXS in maths at the end of KS2 compar</w:t>
            </w:r>
            <w:r>
              <w:rPr>
                <w:rFonts w:ascii="Arial" w:hAnsi="Arial" w:cs="Arial"/>
                <w:sz w:val="24"/>
              </w:rPr>
              <w:t xml:space="preserve">ed to the national average of 73%.2 DAPs were between 1-3 marks away from achieving the EXS. </w:t>
            </w:r>
          </w:p>
          <w:p w:rsidR="00FF1B39" w:rsidRDefault="00FF1B39" w:rsidP="00FF1B39">
            <w:pPr>
              <w:rPr>
                <w:rFonts w:ascii="Arial" w:hAnsi="Arial" w:cs="Arial"/>
                <w:sz w:val="24"/>
              </w:rPr>
            </w:pPr>
          </w:p>
          <w:p w:rsidR="00FF1B39" w:rsidRPr="0077599E" w:rsidRDefault="00FF1B39" w:rsidP="00FF1B39">
            <w:pPr>
              <w:rPr>
                <w:rFonts w:ascii="Arial" w:hAnsi="Arial" w:cs="Arial"/>
                <w:sz w:val="24"/>
              </w:rPr>
            </w:pPr>
            <w:r>
              <w:rPr>
                <w:rFonts w:ascii="Arial" w:hAnsi="Arial" w:cs="Arial"/>
                <w:sz w:val="24"/>
              </w:rPr>
              <w:t>60</w:t>
            </w:r>
            <w:r w:rsidRPr="0077599E">
              <w:rPr>
                <w:rFonts w:ascii="Arial" w:hAnsi="Arial" w:cs="Arial"/>
                <w:sz w:val="24"/>
              </w:rPr>
              <w:t>% of DAPs achieved t</w:t>
            </w:r>
            <w:r>
              <w:rPr>
                <w:rFonts w:ascii="Arial" w:hAnsi="Arial" w:cs="Arial"/>
                <w:sz w:val="24"/>
              </w:rPr>
              <w:t>he expected standard in reading.</w:t>
            </w:r>
            <w:r w:rsidRPr="0077599E">
              <w:rPr>
                <w:rFonts w:ascii="Arial" w:hAnsi="Arial" w:cs="Arial"/>
                <w:sz w:val="24"/>
              </w:rPr>
              <w:t xml:space="preserve"> </w:t>
            </w:r>
            <w:r>
              <w:rPr>
                <w:rFonts w:ascii="Arial" w:hAnsi="Arial" w:cs="Arial"/>
                <w:sz w:val="24"/>
              </w:rPr>
              <w:t>3</w:t>
            </w:r>
            <w:r w:rsidRPr="0077599E">
              <w:rPr>
                <w:rFonts w:ascii="Arial" w:hAnsi="Arial" w:cs="Arial"/>
                <w:sz w:val="24"/>
              </w:rPr>
              <w:t xml:space="preserve"> children who achieved below the expected standard made better than expected progress from their starting points within reading.</w:t>
            </w:r>
          </w:p>
          <w:p w:rsidR="007E7C0F" w:rsidRPr="0077599E" w:rsidRDefault="007E7C0F" w:rsidP="00934C68">
            <w:pPr>
              <w:rPr>
                <w:rFonts w:ascii="Arial" w:hAnsi="Arial" w:cs="Arial"/>
                <w:sz w:val="40"/>
                <w:szCs w:val="40"/>
              </w:rPr>
            </w:pPr>
          </w:p>
        </w:tc>
      </w:tr>
      <w:tr w:rsidR="00291608" w:rsidTr="00ED548E">
        <w:trPr>
          <w:cantSplit/>
          <w:trHeight w:val="1949"/>
        </w:trPr>
        <w:tc>
          <w:tcPr>
            <w:tcW w:w="5210" w:type="dxa"/>
            <w:gridSpan w:val="3"/>
          </w:tcPr>
          <w:p w:rsidR="00291608" w:rsidRPr="0077599E" w:rsidRDefault="00291608" w:rsidP="00291608">
            <w:pPr>
              <w:rPr>
                <w:rFonts w:ascii="Arial" w:eastAsia="Times New Roman" w:hAnsi="Arial" w:cs="Arial"/>
                <w:color w:val="0D0D0D"/>
                <w:sz w:val="24"/>
                <w:szCs w:val="24"/>
                <w:lang w:eastAsia="en-GB"/>
              </w:rPr>
            </w:pPr>
          </w:p>
          <w:p w:rsidR="00291608" w:rsidRPr="0077599E" w:rsidRDefault="00291608" w:rsidP="00291608">
            <w:pPr>
              <w:rPr>
                <w:rFonts w:ascii="Arial" w:hAnsi="Arial" w:cs="Arial"/>
                <w:i/>
              </w:rPr>
            </w:pPr>
            <w:r w:rsidRPr="0077599E">
              <w:rPr>
                <w:rFonts w:ascii="Arial" w:eastAsia="Times New Roman" w:hAnsi="Arial" w:cs="Arial"/>
                <w:color w:val="0D0D0D"/>
                <w:sz w:val="24"/>
                <w:szCs w:val="24"/>
                <w:lang w:eastAsia="en-GB"/>
              </w:rPr>
              <w:t>Those disadvantaged children that begin school with below average speech, language and communication have access to high quality speech and language intervention.</w:t>
            </w:r>
          </w:p>
        </w:tc>
        <w:tc>
          <w:tcPr>
            <w:tcW w:w="10542" w:type="dxa"/>
            <w:gridSpan w:val="5"/>
          </w:tcPr>
          <w:p w:rsidR="00291608" w:rsidRDefault="00291608" w:rsidP="00E718ED">
            <w:pPr>
              <w:rPr>
                <w:rFonts w:ascii="Arial" w:hAnsi="Arial" w:cs="Arial"/>
                <w:b/>
                <w:i/>
                <w:sz w:val="24"/>
                <w:szCs w:val="24"/>
                <w:u w:val="single"/>
              </w:rPr>
            </w:pPr>
          </w:p>
          <w:p w:rsidR="004129EF" w:rsidRPr="004129EF" w:rsidRDefault="004129EF" w:rsidP="00E718ED">
            <w:pPr>
              <w:rPr>
                <w:rFonts w:ascii="Arial" w:hAnsi="Arial" w:cs="Arial"/>
                <w:sz w:val="24"/>
                <w:szCs w:val="24"/>
              </w:rPr>
            </w:pPr>
            <w:r>
              <w:rPr>
                <w:rFonts w:ascii="Arial" w:hAnsi="Arial" w:cs="Arial"/>
                <w:sz w:val="24"/>
                <w:szCs w:val="24"/>
              </w:rPr>
              <w:t xml:space="preserve">Pupil Premium Funding has been used to allow children with EAL to </w:t>
            </w:r>
            <w:r w:rsidR="00580C96">
              <w:rPr>
                <w:rFonts w:ascii="Arial" w:hAnsi="Arial" w:cs="Arial"/>
                <w:sz w:val="24"/>
                <w:szCs w:val="24"/>
              </w:rPr>
              <w:t>access</w:t>
            </w:r>
            <w:r w:rsidR="00ED548E">
              <w:rPr>
                <w:rFonts w:ascii="Arial" w:hAnsi="Arial" w:cs="Arial"/>
                <w:sz w:val="24"/>
                <w:szCs w:val="24"/>
              </w:rPr>
              <w:t xml:space="preserve"> weekly support from our EMA advisory teacher. This work includes </w:t>
            </w:r>
            <w:r w:rsidR="00ED548E" w:rsidRPr="00ED548E">
              <w:rPr>
                <w:rFonts w:ascii="Arial" w:hAnsi="Arial" w:cs="Arial"/>
                <w:sz w:val="24"/>
                <w:szCs w:val="24"/>
              </w:rPr>
              <w:t xml:space="preserve">providing an assessment in </w:t>
            </w:r>
            <w:r w:rsidR="00ED548E">
              <w:rPr>
                <w:rFonts w:ascii="Arial" w:hAnsi="Arial" w:cs="Arial"/>
                <w:sz w:val="24"/>
                <w:szCs w:val="24"/>
              </w:rPr>
              <w:t xml:space="preserve">DAP’s </w:t>
            </w:r>
            <w:r w:rsidR="00ED548E" w:rsidRPr="00ED548E">
              <w:rPr>
                <w:rFonts w:ascii="Arial" w:hAnsi="Arial" w:cs="Arial"/>
                <w:sz w:val="24"/>
                <w:szCs w:val="24"/>
              </w:rPr>
              <w:t>first language in order to build a more complete picture of the needs of</w:t>
            </w:r>
            <w:r w:rsidR="00ED548E">
              <w:rPr>
                <w:rFonts w:ascii="Arial" w:hAnsi="Arial" w:cs="Arial"/>
                <w:sz w:val="24"/>
                <w:szCs w:val="24"/>
              </w:rPr>
              <w:t xml:space="preserve"> the child and to support class teachers in adapting teaching and learning for the child. Our advisory teacher leads 1-1 and small group sessions with DAP’s and non-DAP’s each week. </w:t>
            </w:r>
          </w:p>
          <w:p w:rsidR="00291608" w:rsidRPr="0077599E" w:rsidRDefault="00291608" w:rsidP="00A55445">
            <w:pPr>
              <w:rPr>
                <w:rFonts w:ascii="Arial" w:hAnsi="Arial" w:cs="Arial"/>
                <w:b/>
                <w:i/>
                <w:sz w:val="24"/>
                <w:szCs w:val="24"/>
                <w:u w:val="single"/>
              </w:rPr>
            </w:pPr>
          </w:p>
        </w:tc>
      </w:tr>
      <w:tr w:rsidR="00291608" w:rsidTr="00ED548E">
        <w:trPr>
          <w:cantSplit/>
          <w:trHeight w:val="1821"/>
        </w:trPr>
        <w:tc>
          <w:tcPr>
            <w:tcW w:w="5210" w:type="dxa"/>
            <w:gridSpan w:val="3"/>
          </w:tcPr>
          <w:p w:rsidR="00291608" w:rsidRPr="0077599E" w:rsidRDefault="00291608" w:rsidP="00934C68">
            <w:pPr>
              <w:rPr>
                <w:rFonts w:ascii="Arial" w:eastAsia="Times New Roman" w:hAnsi="Arial" w:cs="Arial"/>
                <w:color w:val="0D0D0D"/>
                <w:sz w:val="24"/>
                <w:szCs w:val="24"/>
                <w:lang w:eastAsia="en-GB"/>
              </w:rPr>
            </w:pPr>
          </w:p>
          <w:p w:rsidR="00291608" w:rsidRPr="0077599E" w:rsidRDefault="00291608" w:rsidP="00934C68">
            <w:pPr>
              <w:rPr>
                <w:rFonts w:ascii="Arial" w:hAnsi="Arial" w:cs="Arial"/>
                <w:b/>
                <w:sz w:val="28"/>
              </w:rPr>
            </w:pPr>
            <w:r w:rsidRPr="0077599E">
              <w:rPr>
                <w:rFonts w:ascii="Arial" w:eastAsia="Times New Roman" w:hAnsi="Arial" w:cs="Arial"/>
                <w:color w:val="0D0D0D"/>
                <w:sz w:val="24"/>
                <w:szCs w:val="24"/>
                <w:lang w:eastAsia="en-GB"/>
              </w:rPr>
              <w:t xml:space="preserve">Disadvantaged pupils engage regularly with home learning ad utilise technology in their day-to-day learning.  </w:t>
            </w:r>
          </w:p>
        </w:tc>
        <w:tc>
          <w:tcPr>
            <w:tcW w:w="10542" w:type="dxa"/>
            <w:gridSpan w:val="5"/>
          </w:tcPr>
          <w:p w:rsidR="00291608" w:rsidRPr="0077599E" w:rsidRDefault="00291608" w:rsidP="00074A63">
            <w:pPr>
              <w:rPr>
                <w:rFonts w:ascii="Arial" w:hAnsi="Arial" w:cs="Arial"/>
                <w:b/>
                <w:i/>
                <w:sz w:val="24"/>
                <w:szCs w:val="24"/>
                <w:u w:val="single"/>
              </w:rPr>
            </w:pPr>
          </w:p>
          <w:p w:rsidR="00074A63" w:rsidRPr="0077599E" w:rsidRDefault="00074A63" w:rsidP="00074A63">
            <w:pPr>
              <w:rPr>
                <w:rFonts w:ascii="Arial" w:hAnsi="Arial" w:cs="Arial"/>
                <w:sz w:val="24"/>
                <w:szCs w:val="24"/>
              </w:rPr>
            </w:pPr>
            <w:r w:rsidRPr="0077599E">
              <w:rPr>
                <w:rFonts w:ascii="Arial" w:hAnsi="Arial" w:cs="Arial"/>
                <w:sz w:val="24"/>
                <w:szCs w:val="24"/>
              </w:rPr>
              <w:t>DAPs from Y3-Y6 have their own iPad which they use in lessons throughout the school day. By engaging children at school with our learning platform Showbie and online learning apps such as T</w:t>
            </w:r>
            <w:r w:rsidR="004C5BD2">
              <w:rPr>
                <w:rFonts w:ascii="Arial" w:hAnsi="Arial" w:cs="Arial"/>
                <w:sz w:val="24"/>
                <w:szCs w:val="24"/>
              </w:rPr>
              <w:t xml:space="preserve">T </w:t>
            </w:r>
            <w:r w:rsidRPr="0077599E">
              <w:rPr>
                <w:rFonts w:ascii="Arial" w:hAnsi="Arial" w:cs="Arial"/>
                <w:sz w:val="24"/>
                <w:szCs w:val="24"/>
              </w:rPr>
              <w:t>Rock Stars, the engagement from children in relation to home learning has greatly improved.</w:t>
            </w:r>
          </w:p>
          <w:p w:rsidR="0077599E" w:rsidRDefault="00074A63" w:rsidP="00074A63">
            <w:pPr>
              <w:rPr>
                <w:rFonts w:ascii="Arial" w:hAnsi="Arial" w:cs="Arial"/>
                <w:sz w:val="24"/>
                <w:szCs w:val="24"/>
              </w:rPr>
            </w:pPr>
            <w:r w:rsidRPr="0077599E">
              <w:rPr>
                <w:rFonts w:ascii="Arial" w:hAnsi="Arial" w:cs="Arial"/>
                <w:sz w:val="24"/>
                <w:szCs w:val="24"/>
              </w:rPr>
              <w:t xml:space="preserve">In addition to this, children in Y6 all have a subscription to SATs Companion which allows teachers to set personalised learning tasks based on past SATs questions for each child to complete at home. </w:t>
            </w:r>
          </w:p>
          <w:p w:rsidR="001C7DCB" w:rsidRDefault="001C7DCB" w:rsidP="00074A63">
            <w:pPr>
              <w:rPr>
                <w:rFonts w:ascii="Arial" w:hAnsi="Arial" w:cs="Arial"/>
                <w:sz w:val="24"/>
                <w:szCs w:val="24"/>
              </w:rPr>
            </w:pPr>
          </w:p>
          <w:p w:rsidR="00074A63" w:rsidRDefault="00DB7B27" w:rsidP="00074A63">
            <w:pPr>
              <w:rPr>
                <w:rFonts w:ascii="Arial" w:hAnsi="Arial" w:cs="Arial"/>
                <w:sz w:val="24"/>
                <w:szCs w:val="24"/>
              </w:rPr>
            </w:pPr>
            <w:r w:rsidRPr="0077599E">
              <w:rPr>
                <w:rFonts w:ascii="Arial" w:hAnsi="Arial" w:cs="Arial"/>
                <w:sz w:val="24"/>
                <w:szCs w:val="24"/>
              </w:rPr>
              <w:t>The use of technology has also given children the opportunity to present their learning in different ways to suit their learning sty</w:t>
            </w:r>
            <w:r w:rsidR="001C7DCB">
              <w:rPr>
                <w:rFonts w:ascii="Arial" w:hAnsi="Arial" w:cs="Arial"/>
                <w:sz w:val="24"/>
                <w:szCs w:val="24"/>
              </w:rPr>
              <w:t xml:space="preserve">les using apps such as Keynote and Numbers. </w:t>
            </w:r>
          </w:p>
          <w:p w:rsidR="001C7DCB" w:rsidRDefault="001C7DCB" w:rsidP="00074A63">
            <w:pPr>
              <w:rPr>
                <w:rFonts w:ascii="Arial" w:hAnsi="Arial" w:cs="Arial"/>
                <w:sz w:val="24"/>
                <w:szCs w:val="24"/>
              </w:rPr>
            </w:pPr>
          </w:p>
          <w:p w:rsidR="001C7DCB" w:rsidRDefault="001C7DCB" w:rsidP="00074A63">
            <w:pPr>
              <w:rPr>
                <w:rFonts w:ascii="Arial" w:hAnsi="Arial" w:cs="Arial"/>
                <w:sz w:val="24"/>
                <w:szCs w:val="24"/>
              </w:rPr>
            </w:pPr>
            <w:r>
              <w:rPr>
                <w:rFonts w:ascii="Arial" w:hAnsi="Arial" w:cs="Arial"/>
                <w:sz w:val="24"/>
                <w:szCs w:val="24"/>
              </w:rPr>
              <w:t xml:space="preserve">Throughout the year, evidenced in lesson observations, Lesson Study and pupil voice, DAPs have been using the accessibility tools on the iPad to remove barriers to learning and boost progress. Children have been editing their work online, using annotation tools in guided reading, supporting calculations with virtual maths manipulatives, using Notes to plan stories and utilising dictation tools. </w:t>
            </w:r>
          </w:p>
          <w:p w:rsidR="001C7DCB" w:rsidRPr="0077599E" w:rsidRDefault="001C7DCB" w:rsidP="00074A63">
            <w:pPr>
              <w:rPr>
                <w:rFonts w:ascii="Arial" w:hAnsi="Arial" w:cs="Arial"/>
                <w:sz w:val="24"/>
                <w:szCs w:val="24"/>
              </w:rPr>
            </w:pPr>
          </w:p>
        </w:tc>
      </w:tr>
      <w:tr w:rsidR="00291608" w:rsidTr="00ED548E">
        <w:trPr>
          <w:cantSplit/>
          <w:trHeight w:val="1684"/>
        </w:trPr>
        <w:tc>
          <w:tcPr>
            <w:tcW w:w="5210" w:type="dxa"/>
            <w:gridSpan w:val="3"/>
          </w:tcPr>
          <w:p w:rsidR="00291608" w:rsidRPr="0077599E" w:rsidRDefault="00291608" w:rsidP="00934C68">
            <w:pPr>
              <w:rPr>
                <w:rFonts w:ascii="Arial" w:eastAsia="Times New Roman" w:hAnsi="Arial" w:cs="Arial"/>
                <w:color w:val="0D0D0D"/>
                <w:sz w:val="24"/>
                <w:szCs w:val="24"/>
                <w:lang w:eastAsia="en-GB"/>
              </w:rPr>
            </w:pPr>
          </w:p>
          <w:p w:rsidR="00291608" w:rsidRPr="0077599E" w:rsidRDefault="00291608" w:rsidP="00934C68">
            <w:pPr>
              <w:rPr>
                <w:rFonts w:ascii="Arial" w:eastAsia="Times New Roman" w:hAnsi="Arial" w:cs="Arial"/>
                <w:color w:val="0D0D0D"/>
                <w:sz w:val="24"/>
                <w:szCs w:val="24"/>
                <w:lang w:eastAsia="en-GB"/>
              </w:rPr>
            </w:pPr>
            <w:r w:rsidRPr="0077599E">
              <w:rPr>
                <w:rFonts w:ascii="Arial" w:eastAsia="Times New Roman" w:hAnsi="Arial" w:cs="Arial"/>
                <w:color w:val="0D0D0D"/>
                <w:sz w:val="24"/>
                <w:szCs w:val="24"/>
                <w:lang w:eastAsia="en-GB"/>
              </w:rPr>
              <w:t>Disadvantaged pupils access out of school hours sport</w:t>
            </w:r>
          </w:p>
        </w:tc>
        <w:tc>
          <w:tcPr>
            <w:tcW w:w="10542" w:type="dxa"/>
            <w:gridSpan w:val="5"/>
          </w:tcPr>
          <w:p w:rsidR="00291608" w:rsidRDefault="00291608" w:rsidP="004129EF">
            <w:pPr>
              <w:rPr>
                <w:rFonts w:ascii="Arial" w:hAnsi="Arial" w:cs="Arial"/>
                <w:b/>
                <w:i/>
                <w:sz w:val="24"/>
                <w:szCs w:val="24"/>
                <w:u w:val="single"/>
              </w:rPr>
            </w:pPr>
          </w:p>
          <w:p w:rsidR="004129EF" w:rsidRPr="004129EF" w:rsidRDefault="004129EF" w:rsidP="004129EF">
            <w:pPr>
              <w:rPr>
                <w:rFonts w:ascii="Arial" w:hAnsi="Arial" w:cs="Arial"/>
                <w:sz w:val="24"/>
                <w:szCs w:val="24"/>
              </w:rPr>
            </w:pPr>
            <w:r>
              <w:rPr>
                <w:rFonts w:ascii="Arial" w:hAnsi="Arial" w:cs="Arial"/>
                <w:sz w:val="24"/>
                <w:szCs w:val="24"/>
              </w:rPr>
              <w:t xml:space="preserve">Attendance for DAPs for out of hour’s school sport has improved with many DAPs from across school regularly attending clubs ranging from judo to football. Links with clubs local to school have continued to strengthen with children attending dance clubs out of school hours. DAPs also represent our school in inter-competitive sporting fixtures and tournaments. </w:t>
            </w:r>
            <w:r w:rsidR="001C7DCB">
              <w:rPr>
                <w:rFonts w:ascii="Arial" w:hAnsi="Arial" w:cs="Arial"/>
                <w:sz w:val="24"/>
                <w:szCs w:val="24"/>
              </w:rPr>
              <w:t>In the summer term, 5 DAPs represented our school football team in the final of the Harold Slater Shield, held</w:t>
            </w:r>
            <w:bookmarkStart w:id="0" w:name="_GoBack"/>
            <w:bookmarkEnd w:id="0"/>
            <w:r w:rsidR="001C7DCB">
              <w:rPr>
                <w:rFonts w:ascii="Arial" w:hAnsi="Arial" w:cs="Arial"/>
                <w:sz w:val="24"/>
                <w:szCs w:val="24"/>
              </w:rPr>
              <w:t xml:space="preserve"> at Deepdale Football Stadium. </w:t>
            </w:r>
          </w:p>
        </w:tc>
      </w:tr>
      <w:tr w:rsidR="00291608" w:rsidTr="00ED548E">
        <w:trPr>
          <w:cantSplit/>
          <w:trHeight w:val="3000"/>
        </w:trPr>
        <w:tc>
          <w:tcPr>
            <w:tcW w:w="5210" w:type="dxa"/>
            <w:gridSpan w:val="3"/>
          </w:tcPr>
          <w:p w:rsidR="00291608" w:rsidRPr="0077599E" w:rsidRDefault="00291608" w:rsidP="00934C68">
            <w:pPr>
              <w:rPr>
                <w:rFonts w:ascii="Arial" w:eastAsia="Times New Roman" w:hAnsi="Arial" w:cs="Arial"/>
                <w:color w:val="0D0D0D"/>
                <w:sz w:val="24"/>
                <w:szCs w:val="24"/>
                <w:lang w:eastAsia="en-GB"/>
              </w:rPr>
            </w:pPr>
          </w:p>
          <w:p w:rsidR="00291608" w:rsidRPr="0077599E" w:rsidRDefault="00291608" w:rsidP="00934C68">
            <w:pPr>
              <w:rPr>
                <w:rFonts w:ascii="Arial" w:eastAsia="Times New Roman" w:hAnsi="Arial" w:cs="Arial"/>
                <w:color w:val="0D0D0D"/>
                <w:sz w:val="24"/>
                <w:szCs w:val="24"/>
                <w:lang w:eastAsia="en-GB"/>
              </w:rPr>
            </w:pPr>
            <w:r w:rsidRPr="0077599E">
              <w:rPr>
                <w:rFonts w:ascii="Arial" w:eastAsia="Times New Roman" w:hAnsi="Arial" w:cs="Arial"/>
                <w:color w:val="0D0D0D"/>
                <w:sz w:val="24"/>
                <w:szCs w:val="24"/>
                <w:lang w:eastAsia="en-GB"/>
              </w:rPr>
              <w:t>Disadvantaged pupils that have experienced ACES access the appropriate support at the earliest opportunity.</w:t>
            </w:r>
          </w:p>
        </w:tc>
        <w:tc>
          <w:tcPr>
            <w:tcW w:w="10542" w:type="dxa"/>
            <w:gridSpan w:val="5"/>
          </w:tcPr>
          <w:p w:rsidR="00291608" w:rsidRPr="0077599E" w:rsidRDefault="00291608" w:rsidP="00DB7B27">
            <w:pPr>
              <w:rPr>
                <w:rFonts w:ascii="Arial" w:hAnsi="Arial" w:cs="Arial"/>
                <w:b/>
                <w:i/>
                <w:sz w:val="24"/>
                <w:szCs w:val="24"/>
                <w:u w:val="single"/>
              </w:rPr>
            </w:pPr>
          </w:p>
          <w:p w:rsidR="00DB7B27" w:rsidRPr="0077599E" w:rsidRDefault="00DB7B27" w:rsidP="00DB7B27">
            <w:pPr>
              <w:rPr>
                <w:rFonts w:ascii="Arial" w:eastAsia="Calibri" w:hAnsi="Arial" w:cs="Arial"/>
                <w:sz w:val="24"/>
                <w:szCs w:val="24"/>
              </w:rPr>
            </w:pPr>
            <w:r w:rsidRPr="0077599E">
              <w:rPr>
                <w:rFonts w:ascii="Arial" w:eastAsia="Calibri" w:hAnsi="Arial" w:cs="Arial"/>
                <w:sz w:val="24"/>
                <w:szCs w:val="24"/>
              </w:rPr>
              <w:t xml:space="preserve">We continue to </w:t>
            </w:r>
            <w:r w:rsidR="004C5BD2" w:rsidRPr="0077599E">
              <w:rPr>
                <w:rFonts w:ascii="Arial" w:eastAsia="Calibri" w:hAnsi="Arial" w:cs="Arial"/>
                <w:sz w:val="24"/>
                <w:szCs w:val="24"/>
              </w:rPr>
              <w:t>deploy</w:t>
            </w:r>
            <w:r w:rsidR="0077599E" w:rsidRPr="0077599E">
              <w:rPr>
                <w:rFonts w:ascii="Arial" w:eastAsia="Calibri" w:hAnsi="Arial" w:cs="Arial"/>
                <w:sz w:val="24"/>
                <w:szCs w:val="24"/>
              </w:rPr>
              <w:t xml:space="preserve"> </w:t>
            </w:r>
            <w:r w:rsidRPr="00DB7B27">
              <w:rPr>
                <w:rFonts w:ascii="Arial" w:eastAsia="Calibri" w:hAnsi="Arial" w:cs="Arial"/>
                <w:sz w:val="24"/>
                <w:szCs w:val="24"/>
              </w:rPr>
              <w:t xml:space="preserve">pupil premium funding in order to support pupils with their emotional and mental health, this is fulfilled through our robust systems of pastoral support. We have recently employed a Children and Family Support Worker who has a wealth of experience across lots of services and she will support our families </w:t>
            </w:r>
            <w:r w:rsidR="0077599E" w:rsidRPr="0077599E">
              <w:rPr>
                <w:rFonts w:ascii="Arial" w:eastAsia="Calibri" w:hAnsi="Arial" w:cs="Arial"/>
                <w:sz w:val="24"/>
                <w:szCs w:val="24"/>
              </w:rPr>
              <w:t>and those children that have ACES</w:t>
            </w:r>
            <w:r w:rsidRPr="00DB7B27">
              <w:rPr>
                <w:rFonts w:ascii="Arial" w:eastAsia="Calibri" w:hAnsi="Arial" w:cs="Arial"/>
                <w:sz w:val="24"/>
                <w:szCs w:val="24"/>
              </w:rPr>
              <w:t>. The funding is also used in the allocation of TA hours, which have been used to support DAP’s in preparation for their statutory assessments and support at lunchtimes.</w:t>
            </w:r>
            <w:r w:rsidR="004C5BD2">
              <w:rPr>
                <w:rFonts w:ascii="Arial" w:eastAsia="Calibri" w:hAnsi="Arial" w:cs="Arial"/>
                <w:sz w:val="24"/>
                <w:szCs w:val="24"/>
              </w:rPr>
              <w:t xml:space="preserve"> Many DAPs have benefited from this support throughout 2023-24</w:t>
            </w:r>
          </w:p>
          <w:p w:rsidR="0077599E" w:rsidRPr="00DB7B27" w:rsidRDefault="0077599E" w:rsidP="00DB7B27">
            <w:pPr>
              <w:rPr>
                <w:rFonts w:ascii="Arial" w:eastAsia="Calibri" w:hAnsi="Arial" w:cs="Arial"/>
                <w:sz w:val="24"/>
                <w:szCs w:val="24"/>
              </w:rPr>
            </w:pPr>
          </w:p>
          <w:p w:rsidR="00DB7B27" w:rsidRPr="00DB7B27" w:rsidRDefault="0077599E" w:rsidP="00DB7B27">
            <w:pPr>
              <w:rPr>
                <w:rFonts w:ascii="Arial" w:eastAsia="Calibri" w:hAnsi="Arial" w:cs="Arial"/>
                <w:sz w:val="24"/>
                <w:szCs w:val="24"/>
              </w:rPr>
            </w:pPr>
            <w:r w:rsidRPr="0077599E">
              <w:rPr>
                <w:rFonts w:ascii="Arial" w:eastAsia="Calibri" w:hAnsi="Arial" w:cs="Arial"/>
                <w:sz w:val="24"/>
                <w:szCs w:val="24"/>
              </w:rPr>
              <w:t xml:space="preserve">We also </w:t>
            </w:r>
            <w:r w:rsidR="00DB7B27" w:rsidRPr="00DB7B27">
              <w:rPr>
                <w:rFonts w:ascii="Arial" w:eastAsia="Calibri" w:hAnsi="Arial" w:cs="Arial"/>
                <w:sz w:val="24"/>
                <w:szCs w:val="24"/>
              </w:rPr>
              <w:t>have DAP</w:t>
            </w:r>
            <w:r w:rsidRPr="0077599E">
              <w:rPr>
                <w:rFonts w:ascii="Arial" w:eastAsia="Calibri" w:hAnsi="Arial" w:cs="Arial"/>
                <w:sz w:val="24"/>
                <w:szCs w:val="24"/>
              </w:rPr>
              <w:t>s</w:t>
            </w:r>
            <w:r w:rsidR="00DB7B27" w:rsidRPr="00DB7B27">
              <w:rPr>
                <w:rFonts w:ascii="Arial" w:eastAsia="Calibri" w:hAnsi="Arial" w:cs="Arial"/>
                <w:sz w:val="24"/>
                <w:szCs w:val="24"/>
              </w:rPr>
              <w:t xml:space="preserve"> access</w:t>
            </w:r>
            <w:r w:rsidRPr="0077599E">
              <w:rPr>
                <w:rFonts w:ascii="Arial" w:eastAsia="Calibri" w:hAnsi="Arial" w:cs="Arial"/>
                <w:sz w:val="24"/>
                <w:szCs w:val="24"/>
              </w:rPr>
              <w:t>ing</w:t>
            </w:r>
            <w:r w:rsidR="00DB7B27" w:rsidRPr="00DB7B27">
              <w:rPr>
                <w:rFonts w:ascii="Arial" w:eastAsia="Calibri" w:hAnsi="Arial" w:cs="Arial"/>
                <w:sz w:val="24"/>
                <w:szCs w:val="24"/>
              </w:rPr>
              <w:t xml:space="preserve"> weekly counselling sessions. This is invaluable to those chd who are experiencing significant challenge in allowing them 1:1 time to express themselves, allow the manifestation of their emotions in a safe space. From speaking to our counsellor, it is clear that children are continually benefiting hugely from this support with many children beginning to ‘open up’ about their feelings which is positively impacting their lives.</w:t>
            </w:r>
          </w:p>
          <w:p w:rsidR="00DB7B27" w:rsidRDefault="00DB7B27" w:rsidP="00DB7B27">
            <w:pPr>
              <w:rPr>
                <w:rFonts w:ascii="Arial" w:hAnsi="Arial" w:cs="Arial"/>
                <w:b/>
                <w:i/>
                <w:sz w:val="24"/>
                <w:szCs w:val="24"/>
                <w:u w:val="single"/>
              </w:rPr>
            </w:pPr>
          </w:p>
          <w:p w:rsidR="0077599E" w:rsidRDefault="0077599E" w:rsidP="0077599E">
            <w:pPr>
              <w:rPr>
                <w:rFonts w:ascii="Arial" w:hAnsi="Arial" w:cs="Arial"/>
                <w:sz w:val="24"/>
              </w:rPr>
            </w:pPr>
            <w:r w:rsidRPr="0077599E">
              <w:rPr>
                <w:rFonts w:ascii="Arial" w:hAnsi="Arial" w:cs="Arial"/>
                <w:sz w:val="24"/>
              </w:rPr>
              <w:t>TA hours have been funded to provide additional care within and at the start of the school day</w:t>
            </w:r>
            <w:r>
              <w:rPr>
                <w:rFonts w:ascii="Arial" w:hAnsi="Arial" w:cs="Arial"/>
                <w:sz w:val="24"/>
              </w:rPr>
              <w:t xml:space="preserve">. This includes our Lunchalots club to support children at lunchtime and TAs </w:t>
            </w:r>
            <w:r w:rsidR="004C5BD2">
              <w:rPr>
                <w:rFonts w:ascii="Arial" w:hAnsi="Arial" w:cs="Arial"/>
                <w:sz w:val="24"/>
              </w:rPr>
              <w:t xml:space="preserve">being used to support DAP in their learning across school. </w:t>
            </w:r>
          </w:p>
          <w:p w:rsidR="001C7DCB" w:rsidRDefault="001C7DCB" w:rsidP="0077599E">
            <w:pPr>
              <w:rPr>
                <w:rFonts w:ascii="Arial" w:hAnsi="Arial" w:cs="Arial"/>
                <w:sz w:val="24"/>
              </w:rPr>
            </w:pPr>
          </w:p>
          <w:p w:rsidR="001C7DCB" w:rsidRPr="0077599E" w:rsidRDefault="001C7DCB" w:rsidP="0077599E">
            <w:pPr>
              <w:rPr>
                <w:rFonts w:ascii="Arial" w:hAnsi="Arial" w:cs="Arial"/>
                <w:sz w:val="24"/>
              </w:rPr>
            </w:pPr>
            <w:r>
              <w:rPr>
                <w:rFonts w:ascii="Arial" w:hAnsi="Arial" w:cs="Arial"/>
                <w:sz w:val="24"/>
              </w:rPr>
              <w:t xml:space="preserve">Moving forward, we plan to use more Forest School based learning to support provision for DAPs who have ACES.  </w:t>
            </w:r>
          </w:p>
          <w:p w:rsidR="0077599E" w:rsidRPr="0077599E" w:rsidRDefault="0077599E" w:rsidP="00DB7B27">
            <w:pPr>
              <w:rPr>
                <w:rFonts w:ascii="Arial" w:hAnsi="Arial" w:cs="Arial"/>
                <w:b/>
                <w:i/>
                <w:sz w:val="24"/>
                <w:szCs w:val="24"/>
                <w:u w:val="single"/>
              </w:rPr>
            </w:pPr>
          </w:p>
        </w:tc>
      </w:tr>
    </w:tbl>
    <w:p w:rsidR="00392299" w:rsidRPr="00392299" w:rsidRDefault="00392299" w:rsidP="00392299">
      <w:pPr>
        <w:jc w:val="center"/>
        <w:rPr>
          <w:b/>
          <w:sz w:val="28"/>
        </w:rPr>
      </w:pPr>
    </w:p>
    <w:sectPr w:rsidR="00392299" w:rsidRPr="00392299" w:rsidSect="00392299">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30" w:rsidRDefault="00280630" w:rsidP="002F2820">
      <w:pPr>
        <w:spacing w:after="0" w:line="240" w:lineRule="auto"/>
      </w:pPr>
      <w:r>
        <w:separator/>
      </w:r>
    </w:p>
  </w:endnote>
  <w:endnote w:type="continuationSeparator" w:id="0">
    <w:p w:rsidR="00280630" w:rsidRDefault="00280630" w:rsidP="002F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523381"/>
      <w:docPartObj>
        <w:docPartGallery w:val="Page Numbers (Bottom of Page)"/>
        <w:docPartUnique/>
      </w:docPartObj>
    </w:sdtPr>
    <w:sdtEndPr>
      <w:rPr>
        <w:noProof/>
      </w:rPr>
    </w:sdtEndPr>
    <w:sdtContent>
      <w:p w:rsidR="002F2820" w:rsidRDefault="002F2820">
        <w:pPr>
          <w:pStyle w:val="Footer"/>
          <w:jc w:val="right"/>
        </w:pPr>
        <w:r>
          <w:fldChar w:fldCharType="begin"/>
        </w:r>
        <w:r>
          <w:instrText xml:space="preserve"> PAGE   \* MERGEFORMAT </w:instrText>
        </w:r>
        <w:r>
          <w:fldChar w:fldCharType="separate"/>
        </w:r>
        <w:r w:rsidR="001C7DCB">
          <w:rPr>
            <w:noProof/>
          </w:rPr>
          <w:t>4</w:t>
        </w:r>
        <w:r>
          <w:rPr>
            <w:noProof/>
          </w:rPr>
          <w:fldChar w:fldCharType="end"/>
        </w:r>
      </w:p>
    </w:sdtContent>
  </w:sdt>
  <w:p w:rsidR="002F2820" w:rsidRDefault="002F2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30" w:rsidRDefault="00280630" w:rsidP="002F2820">
      <w:pPr>
        <w:spacing w:after="0" w:line="240" w:lineRule="auto"/>
      </w:pPr>
      <w:r>
        <w:separator/>
      </w:r>
    </w:p>
  </w:footnote>
  <w:footnote w:type="continuationSeparator" w:id="0">
    <w:p w:rsidR="00280630" w:rsidRDefault="00280630" w:rsidP="002F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352"/>
    <w:multiLevelType w:val="hybridMultilevel"/>
    <w:tmpl w:val="B5AE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33A10"/>
    <w:multiLevelType w:val="hybridMultilevel"/>
    <w:tmpl w:val="12549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E333E"/>
    <w:multiLevelType w:val="hybridMultilevel"/>
    <w:tmpl w:val="0E9A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99"/>
    <w:rsid w:val="000468B7"/>
    <w:rsid w:val="00074A63"/>
    <w:rsid w:val="000C52DA"/>
    <w:rsid w:val="001915EC"/>
    <w:rsid w:val="001C7DCB"/>
    <w:rsid w:val="00280630"/>
    <w:rsid w:val="0028316A"/>
    <w:rsid w:val="00283A00"/>
    <w:rsid w:val="00291608"/>
    <w:rsid w:val="002C560F"/>
    <w:rsid w:val="002E3259"/>
    <w:rsid w:val="002F2820"/>
    <w:rsid w:val="00356481"/>
    <w:rsid w:val="00392299"/>
    <w:rsid w:val="003F11F2"/>
    <w:rsid w:val="004129EF"/>
    <w:rsid w:val="004C5BD2"/>
    <w:rsid w:val="0051797C"/>
    <w:rsid w:val="00580C96"/>
    <w:rsid w:val="005A08E8"/>
    <w:rsid w:val="00641D59"/>
    <w:rsid w:val="006848FA"/>
    <w:rsid w:val="00694345"/>
    <w:rsid w:val="00770B3E"/>
    <w:rsid w:val="0077476A"/>
    <w:rsid w:val="0077599E"/>
    <w:rsid w:val="007A0DE2"/>
    <w:rsid w:val="007E7C0F"/>
    <w:rsid w:val="0080096C"/>
    <w:rsid w:val="008E2E26"/>
    <w:rsid w:val="008F0594"/>
    <w:rsid w:val="00934C68"/>
    <w:rsid w:val="00961254"/>
    <w:rsid w:val="009749FD"/>
    <w:rsid w:val="00982DCB"/>
    <w:rsid w:val="00984932"/>
    <w:rsid w:val="00987FC6"/>
    <w:rsid w:val="009905D3"/>
    <w:rsid w:val="009B5043"/>
    <w:rsid w:val="009C15AB"/>
    <w:rsid w:val="009D575D"/>
    <w:rsid w:val="009E2D29"/>
    <w:rsid w:val="009E6517"/>
    <w:rsid w:val="00A0414E"/>
    <w:rsid w:val="00A46505"/>
    <w:rsid w:val="00A55445"/>
    <w:rsid w:val="00AD59C3"/>
    <w:rsid w:val="00AD6DAE"/>
    <w:rsid w:val="00AE6C10"/>
    <w:rsid w:val="00B20EE8"/>
    <w:rsid w:val="00B34D52"/>
    <w:rsid w:val="00BE6559"/>
    <w:rsid w:val="00C97063"/>
    <w:rsid w:val="00CD565E"/>
    <w:rsid w:val="00D669D0"/>
    <w:rsid w:val="00D80D39"/>
    <w:rsid w:val="00D8796F"/>
    <w:rsid w:val="00DB7B27"/>
    <w:rsid w:val="00DE3966"/>
    <w:rsid w:val="00E718ED"/>
    <w:rsid w:val="00E72055"/>
    <w:rsid w:val="00E76FFE"/>
    <w:rsid w:val="00ED548E"/>
    <w:rsid w:val="00EE67A7"/>
    <w:rsid w:val="00F179E1"/>
    <w:rsid w:val="00F66387"/>
    <w:rsid w:val="00F74BDF"/>
    <w:rsid w:val="00FB08A9"/>
    <w:rsid w:val="00FF1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5A5"/>
  <w15:docId w15:val="{CD729DA3-0D0F-4EC2-A15A-D549A179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345"/>
    <w:pPr>
      <w:ind w:left="720"/>
      <w:contextualSpacing/>
    </w:pPr>
  </w:style>
  <w:style w:type="paragraph" w:styleId="Header">
    <w:name w:val="header"/>
    <w:basedOn w:val="Normal"/>
    <w:link w:val="HeaderChar"/>
    <w:uiPriority w:val="99"/>
    <w:unhideWhenUsed/>
    <w:rsid w:val="002F2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820"/>
  </w:style>
  <w:style w:type="paragraph" w:styleId="Footer">
    <w:name w:val="footer"/>
    <w:basedOn w:val="Normal"/>
    <w:link w:val="FooterChar"/>
    <w:uiPriority w:val="99"/>
    <w:unhideWhenUsed/>
    <w:rsid w:val="002F2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Stewart</dc:creator>
  <cp:keywords/>
  <dc:description/>
  <cp:lastModifiedBy>Andrew Holding</cp:lastModifiedBy>
  <cp:revision>2</cp:revision>
  <dcterms:created xsi:type="dcterms:W3CDTF">2024-10-28T14:02:00Z</dcterms:created>
  <dcterms:modified xsi:type="dcterms:W3CDTF">2024-10-28T14:02:00Z</dcterms:modified>
</cp:coreProperties>
</file>